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3A4C" w14:textId="7CDEE06C" w:rsidR="000D2E15" w:rsidRDefault="000D2E15" w:rsidP="000D2E15">
      <w:pPr>
        <w:spacing w:after="160" w:line="259" w:lineRule="auto"/>
      </w:pPr>
      <w:r w:rsidRPr="003C30D1">
        <w:rPr>
          <w:rFonts w:ascii="Palatino Linotype" w:hAnsi="Palatino Linotype"/>
          <w:b/>
          <w:bCs/>
        </w:rPr>
        <w:t>NAME OF EVENT:</w:t>
      </w:r>
      <w:r>
        <w:rPr>
          <w:rFonts w:ascii="Palatino Linotype" w:hAnsi="Palatino Linotype"/>
        </w:rPr>
        <w:t xml:space="preserve"> </w:t>
      </w:r>
      <w:r w:rsidR="00536C01">
        <w:rPr>
          <w:rFonts w:ascii="Palatino Linotype" w:hAnsi="Palatino Linotype"/>
        </w:rPr>
        <w:t>202</w:t>
      </w:r>
      <w:r w:rsidR="005139DF">
        <w:rPr>
          <w:rFonts w:ascii="Palatino Linotype" w:hAnsi="Palatino Linotype"/>
        </w:rPr>
        <w:t>2</w:t>
      </w:r>
      <w:r w:rsidR="00536C01">
        <w:rPr>
          <w:rFonts w:ascii="Palatino Linotype" w:hAnsi="Palatino Linotype"/>
        </w:rPr>
        <w:t>-202</w:t>
      </w:r>
      <w:r w:rsidR="005139DF">
        <w:rPr>
          <w:rFonts w:ascii="Palatino Linotype" w:hAnsi="Palatino Linotype"/>
        </w:rPr>
        <w:t>3</w:t>
      </w:r>
      <w:r w:rsidR="00536C01">
        <w:rPr>
          <w:rFonts w:ascii="Palatino Linotype" w:hAnsi="Palatino Linotype"/>
        </w:rPr>
        <w:t xml:space="preserve"> ACS National Supreme Court </w:t>
      </w:r>
      <w:r w:rsidR="00CD2079">
        <w:rPr>
          <w:rFonts w:ascii="Palatino Linotype" w:hAnsi="Palatino Linotype"/>
        </w:rPr>
        <w:t>Preview</w:t>
      </w:r>
    </w:p>
    <w:p w14:paraId="52BA65C7" w14:textId="33F1C7DA" w:rsidR="000D2E15" w:rsidRDefault="000D2E15" w:rsidP="000D2E15">
      <w:pPr>
        <w:spacing w:after="160" w:line="259" w:lineRule="auto"/>
        <w:rPr>
          <w:rStyle w:val="normaltextrun"/>
          <w:rFonts w:ascii="Palatino Linotype" w:hAnsi="Palatino Linotype" w:cs="Segoe UI"/>
          <w:color w:val="000000"/>
        </w:rPr>
      </w:pPr>
      <w:r w:rsidRPr="00A01D08">
        <w:rPr>
          <w:rStyle w:val="normaltextrun"/>
          <w:rFonts w:ascii="Palatino Linotype" w:hAnsi="Palatino Linotype" w:cs="Segoe UI"/>
          <w:b/>
          <w:bCs/>
        </w:rPr>
        <w:t>DATE | TIME | LOCATION:</w:t>
      </w:r>
      <w:r>
        <w:rPr>
          <w:rStyle w:val="normaltextrun"/>
          <w:rFonts w:ascii="Palatino Linotype" w:hAnsi="Palatino Linotype" w:cs="Segoe UI"/>
          <w:b/>
          <w:bCs/>
        </w:rPr>
        <w:t xml:space="preserve"> </w:t>
      </w:r>
      <w:r w:rsidR="005139DF">
        <w:rPr>
          <w:rStyle w:val="normaltextrun"/>
          <w:rFonts w:ascii="Palatino Linotype" w:hAnsi="Palatino Linotype" w:cs="Segoe UI"/>
          <w:color w:val="000000"/>
        </w:rPr>
        <w:t>September</w:t>
      </w:r>
      <w:r w:rsidR="00B7576B">
        <w:rPr>
          <w:rStyle w:val="normaltextrun"/>
          <w:rFonts w:ascii="Palatino Linotype" w:hAnsi="Palatino Linotype" w:cs="Segoe UI"/>
          <w:color w:val="000000"/>
        </w:rPr>
        <w:t xml:space="preserve"> </w:t>
      </w:r>
      <w:r w:rsidR="005139DF">
        <w:rPr>
          <w:rStyle w:val="normaltextrun"/>
          <w:rFonts w:ascii="Palatino Linotype" w:hAnsi="Palatino Linotype" w:cs="Segoe UI"/>
          <w:color w:val="000000"/>
        </w:rPr>
        <w:t>15</w:t>
      </w:r>
      <w:r w:rsidR="00B7576B">
        <w:rPr>
          <w:rStyle w:val="normaltextrun"/>
          <w:rFonts w:ascii="Palatino Linotype" w:hAnsi="Palatino Linotype" w:cs="Segoe UI"/>
          <w:color w:val="000000"/>
        </w:rPr>
        <w:t xml:space="preserve">, </w:t>
      </w:r>
      <w:proofErr w:type="gramStart"/>
      <w:r w:rsidR="00B7576B">
        <w:rPr>
          <w:rStyle w:val="normaltextrun"/>
          <w:rFonts w:ascii="Palatino Linotype" w:hAnsi="Palatino Linotype" w:cs="Segoe UI"/>
          <w:color w:val="000000"/>
        </w:rPr>
        <w:t>2022</w:t>
      </w:r>
      <w:proofErr w:type="gramEnd"/>
      <w:r>
        <w:rPr>
          <w:rStyle w:val="normaltextrun"/>
          <w:rFonts w:ascii="Palatino Linotype" w:hAnsi="Palatino Linotype" w:cs="Segoe UI"/>
          <w:b/>
          <w:bCs/>
          <w:color w:val="000000" w:themeColor="text1"/>
        </w:rPr>
        <w:t xml:space="preserve"> </w:t>
      </w:r>
      <w:r w:rsidRPr="00A01D08">
        <w:rPr>
          <w:rStyle w:val="normaltextrun"/>
          <w:rFonts w:ascii="Palatino Linotype" w:hAnsi="Palatino Linotype" w:cs="Segoe UI"/>
          <w:color w:val="000000"/>
        </w:rPr>
        <w:t>|</w:t>
      </w:r>
      <w:r>
        <w:rPr>
          <w:rStyle w:val="normaltextrun"/>
          <w:rFonts w:ascii="Palatino Linotype" w:hAnsi="Palatino Linotype" w:cs="Segoe UI"/>
          <w:color w:val="000000"/>
        </w:rPr>
        <w:t xml:space="preserve"> </w:t>
      </w:r>
      <w:r w:rsidR="00B7576B">
        <w:rPr>
          <w:rStyle w:val="normaltextrun"/>
          <w:rFonts w:ascii="Palatino Linotype" w:hAnsi="Palatino Linotype" w:cs="Segoe UI"/>
          <w:color w:val="000000"/>
        </w:rPr>
        <w:t>1</w:t>
      </w:r>
      <w:r w:rsidR="005139DF">
        <w:rPr>
          <w:rStyle w:val="normaltextrun"/>
          <w:rFonts w:ascii="Palatino Linotype" w:hAnsi="Palatino Linotype" w:cs="Segoe UI"/>
          <w:color w:val="000000"/>
        </w:rPr>
        <w:t>2</w:t>
      </w:r>
      <w:r w:rsidR="00B7576B">
        <w:rPr>
          <w:rStyle w:val="normaltextrun"/>
          <w:rFonts w:ascii="Palatino Linotype" w:hAnsi="Palatino Linotype" w:cs="Segoe UI"/>
          <w:color w:val="000000"/>
        </w:rPr>
        <w:t>:</w:t>
      </w:r>
      <w:r w:rsidR="005139DF">
        <w:rPr>
          <w:rStyle w:val="normaltextrun"/>
          <w:rFonts w:ascii="Palatino Linotype" w:hAnsi="Palatino Linotype" w:cs="Segoe UI"/>
          <w:color w:val="000000"/>
        </w:rPr>
        <w:t>3</w:t>
      </w:r>
      <w:r w:rsidR="00B7576B">
        <w:rPr>
          <w:rStyle w:val="normaltextrun"/>
          <w:rFonts w:ascii="Palatino Linotype" w:hAnsi="Palatino Linotype" w:cs="Segoe UI"/>
          <w:color w:val="000000"/>
        </w:rPr>
        <w:t>0 PM-2:</w:t>
      </w:r>
      <w:r w:rsidR="005139DF">
        <w:rPr>
          <w:rStyle w:val="normaltextrun"/>
          <w:rFonts w:ascii="Palatino Linotype" w:hAnsi="Palatino Linotype" w:cs="Segoe UI"/>
          <w:color w:val="000000"/>
        </w:rPr>
        <w:t>00</w:t>
      </w:r>
      <w:r w:rsidR="00B7576B">
        <w:rPr>
          <w:rStyle w:val="normaltextrun"/>
          <w:rFonts w:ascii="Palatino Linotype" w:hAnsi="Palatino Linotype" w:cs="Segoe UI"/>
          <w:color w:val="000000"/>
        </w:rPr>
        <w:t xml:space="preserve"> PM</w:t>
      </w:r>
      <w:r>
        <w:rPr>
          <w:rStyle w:val="normaltextrun"/>
          <w:rFonts w:ascii="Palatino Linotype" w:hAnsi="Palatino Linotype" w:cs="Segoe UI"/>
          <w:b/>
          <w:bCs/>
          <w:color w:val="000000" w:themeColor="text1"/>
        </w:rPr>
        <w:t xml:space="preserve"> </w:t>
      </w:r>
      <w:r w:rsidRPr="00A01D08">
        <w:rPr>
          <w:rStyle w:val="normaltextrun"/>
          <w:rFonts w:ascii="Palatino Linotype" w:hAnsi="Palatino Linotype" w:cs="Segoe UI"/>
          <w:color w:val="000000"/>
        </w:rPr>
        <w:t>|</w:t>
      </w:r>
      <w:r>
        <w:rPr>
          <w:rStyle w:val="normaltextrun"/>
          <w:rFonts w:ascii="Palatino Linotype" w:hAnsi="Palatino Linotype" w:cs="Segoe UI"/>
          <w:color w:val="000000"/>
        </w:rPr>
        <w:t xml:space="preserve"> Online</w:t>
      </w:r>
    </w:p>
    <w:p w14:paraId="53DF59FC" w14:textId="318618D4" w:rsidR="000D2E15" w:rsidRDefault="000D2E15" w:rsidP="000D2E15">
      <w:pPr>
        <w:spacing w:after="160" w:line="259" w:lineRule="auto"/>
        <w:rPr>
          <w:rFonts w:ascii="Palatino Linotype" w:hAnsi="Palatino Linotype"/>
          <w:b/>
          <w:bCs/>
        </w:rPr>
      </w:pPr>
      <w:r w:rsidRPr="737759FF">
        <w:rPr>
          <w:rFonts w:ascii="Palatino Linotype" w:hAnsi="Palatino Linotype"/>
          <w:b/>
          <w:bCs/>
        </w:rPr>
        <w:t>BRIEF DESCRIPTION:</w:t>
      </w:r>
    </w:p>
    <w:p w14:paraId="0073580F" w14:textId="09EC859C" w:rsidR="00E670D4" w:rsidRPr="00E670D4" w:rsidRDefault="00E670D4" w:rsidP="000D2E15">
      <w:pPr>
        <w:spacing w:after="160" w:line="259" w:lineRule="auto"/>
        <w:rPr>
          <w:rFonts w:ascii="Palatino Linotype" w:hAnsi="Palatino Linotype"/>
          <w:b/>
          <w:bCs/>
        </w:rPr>
      </w:pPr>
      <w:r w:rsidRPr="00E670D4">
        <w:rPr>
          <w:rFonts w:ascii="Palatino Linotype" w:hAnsi="Palatino Linotype"/>
        </w:rPr>
        <w:t>Join ACS for our Annual Supreme Court Preview, part of our observation of this year’s Constitution Day. After the seismic decisions handed down last Term, all eyes will be on the Court this fall to see what may come next. The Preview will feature a diverse group of constitutional and legal experts offering their insights into the upcoming Supreme Court Term that begins on October 3rd.</w:t>
      </w:r>
    </w:p>
    <w:p w14:paraId="4ACD74BF" w14:textId="77777777" w:rsidR="000D2E15" w:rsidRPr="00021B12" w:rsidRDefault="000D2E15" w:rsidP="000D2E15">
      <w:pPr>
        <w:pStyle w:val="paragraph"/>
        <w:spacing w:before="0" w:beforeAutospacing="0" w:after="160" w:afterAutospacing="0" w:line="259" w:lineRule="auto"/>
        <w:textAlignment w:val="baseline"/>
        <w:rPr>
          <w:rFonts w:ascii="Palatino Linotype" w:hAnsi="Palatino Linotype" w:cs="Segoe UI"/>
          <w:b/>
          <w:bCs/>
          <w:sz w:val="22"/>
          <w:szCs w:val="22"/>
        </w:rPr>
      </w:pPr>
      <w:r w:rsidRPr="00021B12">
        <w:rPr>
          <w:rStyle w:val="normaltextrun"/>
          <w:rFonts w:ascii="Palatino Linotype" w:eastAsia="Tahoma" w:hAnsi="Palatino Linotype" w:cs="Segoe UI"/>
          <w:b/>
          <w:bCs/>
          <w:sz w:val="22"/>
          <w:szCs w:val="22"/>
        </w:rPr>
        <w:t>SPEAKERS’ NAMES AND BIOS: </w:t>
      </w:r>
    </w:p>
    <w:p w14:paraId="04721E4C" w14:textId="7ED9093C" w:rsidR="00021B12" w:rsidRPr="00021B12" w:rsidRDefault="000D2E15" w:rsidP="000D2E15">
      <w:pPr>
        <w:pStyle w:val="ListParagraph"/>
        <w:numPr>
          <w:ilvl w:val="0"/>
          <w:numId w:val="1"/>
        </w:numPr>
        <w:spacing w:after="60" w:line="259" w:lineRule="auto"/>
        <w:rPr>
          <w:rFonts w:ascii="Palatino Linotype" w:hAnsi="Palatino Linotype"/>
          <w:b/>
          <w:bCs/>
          <w:bdr w:val="none" w:sz="0" w:space="0" w:color="auto" w:frame="1"/>
          <w:shd w:val="clear" w:color="auto" w:fill="FFFFFF"/>
        </w:rPr>
      </w:pPr>
      <w:r w:rsidRPr="00021B12">
        <w:rPr>
          <w:rFonts w:ascii="Palatino Linotype" w:hAnsi="Palatino Linotype"/>
          <w:b/>
          <w:bCs/>
          <w:bdr w:val="none" w:sz="0" w:space="0" w:color="auto" w:frame="1"/>
          <w:shd w:val="clear" w:color="auto" w:fill="FFFFFF"/>
        </w:rPr>
        <w:t>Introduction:</w:t>
      </w:r>
      <w:r w:rsidR="00021B12" w:rsidRPr="00021B12">
        <w:rPr>
          <w:rFonts w:ascii="Palatino Linotype" w:hAnsi="Palatino Linotype"/>
          <w:b/>
          <w:bCs/>
          <w:bdr w:val="none" w:sz="0" w:space="0" w:color="auto" w:frame="1"/>
          <w:shd w:val="clear" w:color="auto" w:fill="FFFFFF"/>
        </w:rPr>
        <w:t xml:space="preserve"> </w:t>
      </w:r>
      <w:r w:rsidR="00021B12" w:rsidRPr="00021B12">
        <w:rPr>
          <w:rStyle w:val="Strong"/>
          <w:rFonts w:ascii="Palatino Linotype" w:hAnsi="Palatino Linotype"/>
        </w:rPr>
        <w:t>Russ Feingold</w:t>
      </w:r>
      <w:r w:rsidR="00021B12" w:rsidRPr="00021B12">
        <w:rPr>
          <w:rFonts w:ascii="Palatino Linotype" w:hAnsi="Palatino Linotype"/>
        </w:rPr>
        <w:t>, ACS President</w:t>
      </w:r>
    </w:p>
    <w:p w14:paraId="2091E7A4" w14:textId="4CE2DBA3" w:rsidR="00021B12" w:rsidRPr="00021B12" w:rsidRDefault="00021B12" w:rsidP="00021B12">
      <w:pPr>
        <w:pStyle w:val="NormalWeb"/>
        <w:numPr>
          <w:ilvl w:val="0"/>
          <w:numId w:val="1"/>
        </w:numPr>
        <w:spacing w:before="0" w:beforeAutospacing="0" w:after="60" w:afterAutospacing="0" w:line="259" w:lineRule="auto"/>
        <w:rPr>
          <w:rFonts w:ascii="Palatino Linotype" w:hAnsi="Palatino Linotype"/>
          <w:sz w:val="22"/>
          <w:szCs w:val="22"/>
        </w:rPr>
      </w:pPr>
      <w:r w:rsidRPr="00021B12">
        <w:rPr>
          <w:rStyle w:val="Strong"/>
          <w:rFonts w:ascii="Palatino Linotype" w:hAnsi="Palatino Linotype"/>
          <w:sz w:val="22"/>
          <w:szCs w:val="22"/>
        </w:rPr>
        <w:t>Adam Liptak</w:t>
      </w:r>
      <w:r w:rsidRPr="00021B12">
        <w:rPr>
          <w:rFonts w:ascii="Palatino Linotype" w:hAnsi="Palatino Linotype"/>
          <w:sz w:val="22"/>
          <w:szCs w:val="22"/>
        </w:rPr>
        <w:t>, Supreme Court Correspondent, The New York Times (moderator)</w:t>
      </w:r>
    </w:p>
    <w:p w14:paraId="441DD4E7" w14:textId="77777777" w:rsidR="00021B12" w:rsidRPr="00021B12" w:rsidRDefault="00021B12" w:rsidP="00021B12">
      <w:pPr>
        <w:pStyle w:val="NormalWeb"/>
        <w:numPr>
          <w:ilvl w:val="0"/>
          <w:numId w:val="1"/>
        </w:numPr>
        <w:spacing w:before="0" w:beforeAutospacing="0" w:after="60" w:afterAutospacing="0" w:line="259" w:lineRule="auto"/>
        <w:rPr>
          <w:rFonts w:ascii="Palatino Linotype" w:hAnsi="Palatino Linotype"/>
          <w:sz w:val="22"/>
          <w:szCs w:val="22"/>
        </w:rPr>
      </w:pPr>
      <w:r w:rsidRPr="00021B12">
        <w:rPr>
          <w:rStyle w:val="Strong"/>
          <w:rFonts w:ascii="Palatino Linotype" w:hAnsi="Palatino Linotype"/>
          <w:sz w:val="22"/>
          <w:szCs w:val="22"/>
        </w:rPr>
        <w:t>Deborah Archer</w:t>
      </w:r>
      <w:r w:rsidRPr="00021B12">
        <w:rPr>
          <w:rFonts w:ascii="Palatino Linotype" w:hAnsi="Palatino Linotype"/>
          <w:sz w:val="22"/>
          <w:szCs w:val="22"/>
        </w:rPr>
        <w:t>, President, ACLU; Professor of Clinical Law and Co-Faculty Director of the Center on Race, Inequality, and the Law, NYU School of Law</w:t>
      </w:r>
    </w:p>
    <w:p w14:paraId="477D8C2B" w14:textId="77777777" w:rsidR="00021B12" w:rsidRPr="00021B12" w:rsidRDefault="00021B12" w:rsidP="00021B12">
      <w:pPr>
        <w:pStyle w:val="NormalWeb"/>
        <w:numPr>
          <w:ilvl w:val="0"/>
          <w:numId w:val="1"/>
        </w:numPr>
        <w:spacing w:before="0" w:beforeAutospacing="0" w:after="60" w:afterAutospacing="0" w:line="259" w:lineRule="auto"/>
        <w:rPr>
          <w:rFonts w:ascii="Palatino Linotype" w:hAnsi="Palatino Linotype"/>
          <w:sz w:val="22"/>
          <w:szCs w:val="22"/>
        </w:rPr>
      </w:pPr>
      <w:r w:rsidRPr="00021B12">
        <w:rPr>
          <w:rStyle w:val="Strong"/>
          <w:rFonts w:ascii="Palatino Linotype" w:hAnsi="Palatino Linotype"/>
          <w:sz w:val="22"/>
          <w:szCs w:val="22"/>
        </w:rPr>
        <w:t>Jonathan Diaz</w:t>
      </w:r>
      <w:r w:rsidRPr="00021B12">
        <w:rPr>
          <w:rFonts w:ascii="Palatino Linotype" w:hAnsi="Palatino Linotype"/>
          <w:sz w:val="22"/>
          <w:szCs w:val="22"/>
        </w:rPr>
        <w:t>, Senior Legal Counsel, Campaign Legal Center</w:t>
      </w:r>
    </w:p>
    <w:p w14:paraId="367716D4" w14:textId="77777777" w:rsidR="00021B12" w:rsidRPr="00021B12" w:rsidRDefault="00021B12" w:rsidP="00021B12">
      <w:pPr>
        <w:pStyle w:val="NormalWeb"/>
        <w:numPr>
          <w:ilvl w:val="0"/>
          <w:numId w:val="1"/>
        </w:numPr>
        <w:spacing w:before="0" w:beforeAutospacing="0" w:after="60" w:afterAutospacing="0" w:line="259" w:lineRule="auto"/>
        <w:rPr>
          <w:rFonts w:ascii="Palatino Linotype" w:hAnsi="Palatino Linotype"/>
          <w:sz w:val="22"/>
          <w:szCs w:val="22"/>
        </w:rPr>
      </w:pPr>
      <w:r w:rsidRPr="00021B12">
        <w:rPr>
          <w:rStyle w:val="Strong"/>
          <w:rFonts w:ascii="Palatino Linotype" w:hAnsi="Palatino Linotype"/>
          <w:sz w:val="22"/>
          <w:szCs w:val="22"/>
        </w:rPr>
        <w:t>Kent Greenfield</w:t>
      </w:r>
      <w:r w:rsidRPr="00021B12">
        <w:rPr>
          <w:rFonts w:ascii="Palatino Linotype" w:hAnsi="Palatino Linotype"/>
          <w:sz w:val="22"/>
          <w:szCs w:val="22"/>
        </w:rPr>
        <w:t>, Professor and Dean’s Distinguished Scholar, Boston College Law School</w:t>
      </w:r>
    </w:p>
    <w:p w14:paraId="11B38841" w14:textId="77777777" w:rsidR="00021B12" w:rsidRPr="00021B12" w:rsidRDefault="00021B12" w:rsidP="00021B12">
      <w:pPr>
        <w:pStyle w:val="NormalWeb"/>
        <w:numPr>
          <w:ilvl w:val="0"/>
          <w:numId w:val="1"/>
        </w:numPr>
        <w:spacing w:before="0" w:beforeAutospacing="0" w:after="60" w:afterAutospacing="0" w:line="259" w:lineRule="auto"/>
        <w:rPr>
          <w:rFonts w:ascii="Palatino Linotype" w:hAnsi="Palatino Linotype"/>
          <w:sz w:val="22"/>
          <w:szCs w:val="22"/>
        </w:rPr>
      </w:pPr>
      <w:r w:rsidRPr="00021B12">
        <w:rPr>
          <w:rStyle w:val="Strong"/>
          <w:rFonts w:ascii="Palatino Linotype" w:hAnsi="Palatino Linotype"/>
          <w:sz w:val="22"/>
          <w:szCs w:val="22"/>
        </w:rPr>
        <w:t>Wenona Singel</w:t>
      </w:r>
      <w:r w:rsidRPr="00021B12">
        <w:rPr>
          <w:rFonts w:ascii="Palatino Linotype" w:hAnsi="Palatino Linotype"/>
          <w:sz w:val="22"/>
          <w:szCs w:val="22"/>
        </w:rPr>
        <w:t>, Associate Professor of Law and Director of the Indigenous Law &amp; Policy Center, Michigan State University College of Law</w:t>
      </w:r>
    </w:p>
    <w:p w14:paraId="23FA5DB0" w14:textId="74E0F0AA" w:rsidR="00021B12" w:rsidRPr="00021B12" w:rsidRDefault="00021B12" w:rsidP="00021B12">
      <w:pPr>
        <w:pStyle w:val="NormalWeb"/>
        <w:numPr>
          <w:ilvl w:val="0"/>
          <w:numId w:val="1"/>
        </w:numPr>
        <w:spacing w:before="0" w:beforeAutospacing="0" w:after="60" w:afterAutospacing="0" w:line="259" w:lineRule="auto"/>
        <w:rPr>
          <w:rFonts w:ascii="Palatino Linotype" w:hAnsi="Palatino Linotype"/>
          <w:sz w:val="22"/>
          <w:szCs w:val="22"/>
        </w:rPr>
      </w:pPr>
      <w:r w:rsidRPr="00021B12">
        <w:rPr>
          <w:rStyle w:val="Strong"/>
          <w:rFonts w:ascii="Palatino Linotype" w:hAnsi="Palatino Linotype"/>
          <w:sz w:val="22"/>
          <w:szCs w:val="22"/>
        </w:rPr>
        <w:t>Shoba Sivaprasad Wadhia</w:t>
      </w:r>
      <w:r w:rsidRPr="00021B12">
        <w:rPr>
          <w:rFonts w:ascii="Palatino Linotype" w:hAnsi="Palatino Linotype"/>
          <w:sz w:val="22"/>
          <w:szCs w:val="22"/>
        </w:rPr>
        <w:t>, Associate Dean for Diversity, Equity, and Inclusion; Samuel Weiss Faculty Scholar; and Clinical Professor of Law, Penn State Law</w:t>
      </w:r>
    </w:p>
    <w:p w14:paraId="5B6DF06C" w14:textId="3343F11F" w:rsidR="000D2E15" w:rsidRPr="00021B12" w:rsidRDefault="000D2E15" w:rsidP="00021B12">
      <w:pPr>
        <w:spacing w:after="60" w:line="259" w:lineRule="auto"/>
        <w:rPr>
          <w:rStyle w:val="eop"/>
          <w:rFonts w:ascii="Palatino Linotype" w:hAnsi="Palatino Linotype" w:cs="Segoe UI"/>
          <w:color w:val="000000"/>
        </w:rPr>
      </w:pPr>
      <w:r w:rsidRPr="00021B12">
        <w:rPr>
          <w:rStyle w:val="normaltextrun"/>
          <w:rFonts w:ascii="Palatino Linotype" w:eastAsia="Tahoma" w:hAnsi="Palatino Linotype" w:cs="Segoe UI"/>
          <w:b/>
          <w:bCs/>
          <w:color w:val="000000"/>
        </w:rPr>
        <w:t>AGENDA OF PROGRAM:</w:t>
      </w:r>
      <w:r w:rsidR="00D83E52" w:rsidRPr="00021B12">
        <w:rPr>
          <w:rStyle w:val="normaltextrun"/>
          <w:rFonts w:ascii="Palatino Linotype" w:eastAsia="Tahoma" w:hAnsi="Palatino Linotype" w:cs="Segoe UI"/>
          <w:b/>
          <w:bCs/>
          <w:color w:val="000000"/>
        </w:rPr>
        <w:tab/>
      </w:r>
    </w:p>
    <w:p w14:paraId="23AD534D" w14:textId="77777777" w:rsidR="000D2E15" w:rsidRPr="00A01D08" w:rsidRDefault="000D2E15" w:rsidP="000D2E15">
      <w:pPr>
        <w:pStyle w:val="paragraph"/>
        <w:numPr>
          <w:ilvl w:val="0"/>
          <w:numId w:val="2"/>
        </w:numPr>
        <w:spacing w:before="0" w:beforeAutospacing="0" w:after="60" w:afterAutospacing="0" w:line="259" w:lineRule="auto"/>
        <w:ind w:left="360"/>
        <w:textAlignment w:val="baseline"/>
        <w:rPr>
          <w:rStyle w:val="eop"/>
          <w:rFonts w:ascii="Palatino Linotype" w:hAnsi="Palatino Linotype" w:cs="Segoe UI"/>
          <w:color w:val="000000"/>
          <w:sz w:val="22"/>
          <w:szCs w:val="22"/>
        </w:rPr>
      </w:pPr>
      <w:r>
        <w:rPr>
          <w:rStyle w:val="eop"/>
          <w:rFonts w:ascii="Palatino Linotype" w:hAnsi="Palatino Linotype" w:cs="Segoe UI"/>
          <w:sz w:val="22"/>
          <w:szCs w:val="22"/>
        </w:rPr>
        <w:t>I</w:t>
      </w:r>
      <w:r w:rsidRPr="00A01D08">
        <w:rPr>
          <w:rStyle w:val="eop"/>
          <w:rFonts w:ascii="Palatino Linotype" w:hAnsi="Palatino Linotype" w:cs="Segoe UI"/>
          <w:sz w:val="22"/>
          <w:szCs w:val="22"/>
        </w:rPr>
        <w:t>ntroduction</w:t>
      </w:r>
      <w:r>
        <w:rPr>
          <w:rStyle w:val="eop"/>
          <w:rFonts w:ascii="Palatino Linotype" w:hAnsi="Palatino Linotype" w:cs="Segoe UI"/>
          <w:sz w:val="22"/>
          <w:szCs w:val="22"/>
        </w:rPr>
        <w:t xml:space="preserve"> (5 mins)</w:t>
      </w:r>
    </w:p>
    <w:p w14:paraId="4B61724F" w14:textId="71BD9182" w:rsidR="000D2E15" w:rsidRPr="00A01D08" w:rsidRDefault="000D2E15" w:rsidP="000D2E15">
      <w:pPr>
        <w:pStyle w:val="paragraph"/>
        <w:numPr>
          <w:ilvl w:val="0"/>
          <w:numId w:val="2"/>
        </w:numPr>
        <w:spacing w:before="0" w:beforeAutospacing="0" w:after="60" w:afterAutospacing="0" w:line="259" w:lineRule="auto"/>
        <w:ind w:left="360"/>
        <w:textAlignment w:val="baseline"/>
        <w:rPr>
          <w:rStyle w:val="eop"/>
          <w:rFonts w:ascii="Palatino Linotype" w:hAnsi="Palatino Linotype" w:cs="Segoe UI"/>
          <w:sz w:val="22"/>
          <w:szCs w:val="22"/>
        </w:rPr>
      </w:pPr>
      <w:r>
        <w:rPr>
          <w:rStyle w:val="eop"/>
          <w:rFonts w:ascii="Palatino Linotype" w:hAnsi="Palatino Linotype" w:cs="Segoe UI"/>
          <w:sz w:val="22"/>
          <w:szCs w:val="22"/>
        </w:rPr>
        <w:t>Moderated Discussion</w:t>
      </w:r>
      <w:r w:rsidR="00B7576B">
        <w:rPr>
          <w:rStyle w:val="eop"/>
          <w:rFonts w:ascii="Palatino Linotype" w:hAnsi="Palatino Linotype" w:cs="Segoe UI"/>
          <w:sz w:val="22"/>
          <w:szCs w:val="22"/>
        </w:rPr>
        <w:t>/Presentations</w:t>
      </w:r>
      <w:r>
        <w:rPr>
          <w:rStyle w:val="eop"/>
          <w:rFonts w:ascii="Palatino Linotype" w:hAnsi="Palatino Linotype" w:cs="Segoe UI"/>
          <w:sz w:val="22"/>
          <w:szCs w:val="22"/>
        </w:rPr>
        <w:t xml:space="preserve"> (</w:t>
      </w:r>
      <w:r w:rsidR="00B7576B">
        <w:rPr>
          <w:rStyle w:val="eop"/>
          <w:rFonts w:ascii="Palatino Linotype" w:hAnsi="Palatino Linotype" w:cs="Segoe UI"/>
          <w:sz w:val="22"/>
          <w:szCs w:val="22"/>
        </w:rPr>
        <w:t>75</w:t>
      </w:r>
      <w:r>
        <w:rPr>
          <w:rStyle w:val="eop"/>
          <w:rFonts w:ascii="Palatino Linotype" w:hAnsi="Palatino Linotype" w:cs="Segoe UI"/>
          <w:sz w:val="22"/>
          <w:szCs w:val="22"/>
        </w:rPr>
        <w:t xml:space="preserve"> mins)</w:t>
      </w:r>
    </w:p>
    <w:p w14:paraId="746B2985" w14:textId="7D328CA7" w:rsidR="000D2E15" w:rsidRPr="00A01D08" w:rsidRDefault="000D2E15" w:rsidP="000D2E15">
      <w:pPr>
        <w:pStyle w:val="paragraph"/>
        <w:numPr>
          <w:ilvl w:val="0"/>
          <w:numId w:val="2"/>
        </w:numPr>
        <w:spacing w:before="0" w:beforeAutospacing="0" w:after="160" w:afterAutospacing="0" w:line="259" w:lineRule="auto"/>
        <w:ind w:left="360"/>
        <w:textAlignment w:val="baseline"/>
        <w:rPr>
          <w:rStyle w:val="eop"/>
          <w:rFonts w:ascii="Palatino Linotype" w:hAnsi="Palatino Linotype" w:cs="Segoe UI"/>
          <w:sz w:val="22"/>
          <w:szCs w:val="22"/>
        </w:rPr>
      </w:pPr>
      <w:r w:rsidRPr="00A01D08">
        <w:rPr>
          <w:rStyle w:val="eop"/>
          <w:rFonts w:ascii="Palatino Linotype" w:hAnsi="Palatino Linotype" w:cs="Segoe UI"/>
          <w:sz w:val="22"/>
          <w:szCs w:val="22"/>
        </w:rPr>
        <w:t>Q&amp;A</w:t>
      </w:r>
      <w:r>
        <w:rPr>
          <w:rStyle w:val="eop"/>
          <w:rFonts w:ascii="Palatino Linotype" w:hAnsi="Palatino Linotype" w:cs="Segoe UI"/>
          <w:sz w:val="22"/>
          <w:szCs w:val="22"/>
        </w:rPr>
        <w:t xml:space="preserve"> (10 min)</w:t>
      </w:r>
    </w:p>
    <w:p w14:paraId="4E24D7F0" w14:textId="5B98A23F" w:rsidR="000D2E15" w:rsidRDefault="000D2E15" w:rsidP="000D2E15">
      <w:pPr>
        <w:spacing w:after="160" w:line="259" w:lineRule="auto"/>
        <w:rPr>
          <w:rFonts w:ascii="Palatino Linotype" w:hAnsi="Palatino Linotype"/>
          <w:b/>
          <w:bCs/>
        </w:rPr>
      </w:pPr>
      <w:r>
        <w:rPr>
          <w:rFonts w:ascii="Palatino Linotype" w:hAnsi="Palatino Linotype"/>
          <w:b/>
          <w:bCs/>
        </w:rPr>
        <w:t xml:space="preserve">READING </w:t>
      </w:r>
      <w:r w:rsidRPr="003C30D1">
        <w:rPr>
          <w:rFonts w:ascii="Palatino Linotype" w:hAnsi="Palatino Linotype"/>
          <w:b/>
          <w:bCs/>
        </w:rPr>
        <w:t xml:space="preserve">MATERIALS:   </w:t>
      </w:r>
    </w:p>
    <w:p w14:paraId="129B6BC1" w14:textId="77777777" w:rsidR="00021B12" w:rsidRPr="00293939" w:rsidRDefault="00CD2079" w:rsidP="00021B12">
      <w:pPr>
        <w:spacing w:line="240" w:lineRule="auto"/>
        <w:rPr>
          <w:rFonts w:ascii="Palatino Linotype" w:hAnsi="Palatino Linotype"/>
        </w:rPr>
      </w:pPr>
      <w:hyperlink r:id="rId10" w:history="1">
        <w:r w:rsidR="00021B12" w:rsidRPr="00293939">
          <w:rPr>
            <w:rStyle w:val="Hyperlink"/>
            <w:rFonts w:ascii="Palatino Linotype" w:hAnsi="Palatino Linotype"/>
          </w:rPr>
          <w:t>Brief for Petitioner the State of Texas</w:t>
        </w:r>
      </w:hyperlink>
      <w:r w:rsidR="00021B12" w:rsidRPr="00293939">
        <w:rPr>
          <w:rFonts w:ascii="Palatino Linotype" w:hAnsi="Palatino Linotype"/>
        </w:rPr>
        <w:t>, Brackeen v. Halland, No. 21-376, No. 21-377, No.21-378&amp; No. 21-380 (May 26, 2022).</w:t>
      </w:r>
    </w:p>
    <w:p w14:paraId="6F81760B" w14:textId="77777777" w:rsidR="00021B12" w:rsidRPr="00293939" w:rsidRDefault="00CD2079" w:rsidP="00021B12">
      <w:pPr>
        <w:spacing w:line="240" w:lineRule="auto"/>
        <w:rPr>
          <w:rFonts w:ascii="Palatino Linotype" w:hAnsi="Palatino Linotype"/>
        </w:rPr>
      </w:pPr>
      <w:hyperlink r:id="rId11" w:history="1">
        <w:r w:rsidR="00021B12" w:rsidRPr="00293939">
          <w:rPr>
            <w:rStyle w:val="Hyperlink"/>
            <w:rFonts w:ascii="Palatino Linotype" w:hAnsi="Palatino Linotype"/>
          </w:rPr>
          <w:t>Brief for Individual Petitioners</w:t>
        </w:r>
      </w:hyperlink>
      <w:r w:rsidR="00021B12" w:rsidRPr="00293939">
        <w:rPr>
          <w:rFonts w:ascii="Palatino Linotype" w:hAnsi="Palatino Linotype"/>
        </w:rPr>
        <w:t>, Brackeen v. Halland, No. 21-376, No. 21-377, No. 21-378, &amp; No. 21-380 (May 26, 2022).</w:t>
      </w:r>
    </w:p>
    <w:p w14:paraId="655E06E9" w14:textId="77777777" w:rsidR="00293939" w:rsidRPr="00293939" w:rsidRDefault="00CD2079" w:rsidP="00293939">
      <w:pPr>
        <w:spacing w:line="240" w:lineRule="auto"/>
        <w:rPr>
          <w:rFonts w:ascii="Palatino Linotype" w:hAnsi="Palatino Linotype"/>
        </w:rPr>
      </w:pPr>
      <w:hyperlink r:id="rId12" w:history="1">
        <w:r w:rsidR="00293939" w:rsidRPr="00293939">
          <w:rPr>
            <w:rStyle w:val="Hyperlink"/>
            <w:rFonts w:ascii="Palatino Linotype" w:hAnsi="Palatino Linotype"/>
          </w:rPr>
          <w:t>Brief for Tribal Defendants</w:t>
        </w:r>
      </w:hyperlink>
      <w:r w:rsidR="00293939" w:rsidRPr="00293939">
        <w:rPr>
          <w:rFonts w:ascii="Palatino Linotype" w:hAnsi="Palatino Linotype"/>
        </w:rPr>
        <w:t>, Brackeen v. Halland, No. 21-376, No. 21-377, No. 21-378 &amp; No. 21-380 (Aug. 12, 2022).</w:t>
      </w:r>
    </w:p>
    <w:p w14:paraId="633C07FC" w14:textId="77777777" w:rsidR="00293939" w:rsidRPr="00293939" w:rsidRDefault="00CD2079" w:rsidP="00293939">
      <w:pPr>
        <w:spacing w:line="240" w:lineRule="auto"/>
        <w:rPr>
          <w:rFonts w:ascii="Palatino Linotype" w:hAnsi="Palatino Linotype"/>
        </w:rPr>
      </w:pPr>
      <w:hyperlink r:id="rId13" w:history="1">
        <w:r w:rsidR="00293939" w:rsidRPr="00293939">
          <w:rPr>
            <w:rStyle w:val="Hyperlink"/>
            <w:rFonts w:ascii="Palatino Linotype" w:hAnsi="Palatino Linotype"/>
          </w:rPr>
          <w:t>Brief for the Federal Parties</w:t>
        </w:r>
      </w:hyperlink>
      <w:r w:rsidR="00293939" w:rsidRPr="00293939">
        <w:rPr>
          <w:rFonts w:ascii="Palatino Linotype" w:hAnsi="Palatino Linotype"/>
        </w:rPr>
        <w:t>, Brackeen v. Halland, No. 21-376, No. 21-377, No. 21-378 &amp; No. 21-380 (Aug. 12, 2022).</w:t>
      </w:r>
    </w:p>
    <w:p w14:paraId="110B4B9B" w14:textId="77777777" w:rsidR="00293939" w:rsidRPr="00293939" w:rsidRDefault="00CD2079" w:rsidP="00293939">
      <w:pPr>
        <w:spacing w:line="240" w:lineRule="auto"/>
        <w:rPr>
          <w:rFonts w:ascii="Palatino Linotype" w:hAnsi="Palatino Linotype"/>
        </w:rPr>
      </w:pPr>
      <w:hyperlink r:id="rId14" w:history="1">
        <w:r w:rsidR="00293939" w:rsidRPr="00293939">
          <w:rPr>
            <w:rStyle w:val="Hyperlink"/>
            <w:rFonts w:ascii="Palatino Linotype" w:hAnsi="Palatino Linotype"/>
          </w:rPr>
          <w:t>Brief of Indian Law Professors as Amici Curiae in Support of Federal and Tribal Defendants</w:t>
        </w:r>
      </w:hyperlink>
      <w:r w:rsidR="00293939" w:rsidRPr="00293939">
        <w:rPr>
          <w:rFonts w:ascii="Palatino Linotype" w:hAnsi="Palatino Linotype"/>
        </w:rPr>
        <w:t>, No. 21-376, No. 21-377, No. 21-378 &amp; No. 21-380 (Aug. 19, 2022).</w:t>
      </w:r>
    </w:p>
    <w:p w14:paraId="05545807" w14:textId="77777777" w:rsidR="00293939" w:rsidRPr="00293939" w:rsidRDefault="00CD2079" w:rsidP="00293939">
      <w:pPr>
        <w:spacing w:line="240" w:lineRule="auto"/>
        <w:rPr>
          <w:rFonts w:ascii="Palatino Linotype" w:hAnsi="Palatino Linotype"/>
        </w:rPr>
      </w:pPr>
      <w:hyperlink r:id="rId15" w:history="1">
        <w:r w:rsidR="00293939" w:rsidRPr="00293939">
          <w:rPr>
            <w:rStyle w:val="Hyperlink"/>
            <w:rFonts w:ascii="Palatino Linotype" w:hAnsi="Palatino Linotype"/>
          </w:rPr>
          <w:t>Brief for Appellants</w:t>
        </w:r>
      </w:hyperlink>
      <w:r w:rsidR="00293939" w:rsidRPr="00293939">
        <w:rPr>
          <w:rFonts w:ascii="Palatino Linotype" w:hAnsi="Palatino Linotype"/>
        </w:rPr>
        <w:t>, Merrill v. Milligan, No.21-1086 &amp; No.21-1087 (Apr. 25, 2022).</w:t>
      </w:r>
    </w:p>
    <w:p w14:paraId="0FC1AFB4" w14:textId="77777777" w:rsidR="00293939" w:rsidRPr="00293939" w:rsidRDefault="00CD2079" w:rsidP="00293939">
      <w:pPr>
        <w:spacing w:line="240" w:lineRule="auto"/>
        <w:rPr>
          <w:rFonts w:ascii="Palatino Linotype" w:hAnsi="Palatino Linotype"/>
        </w:rPr>
      </w:pPr>
      <w:hyperlink r:id="rId16" w:history="1">
        <w:r w:rsidR="00293939" w:rsidRPr="00293939">
          <w:rPr>
            <w:rStyle w:val="Hyperlink"/>
            <w:rFonts w:ascii="Palatino Linotype" w:hAnsi="Palatino Linotype"/>
          </w:rPr>
          <w:t>Brief for Caster Respondents</w:t>
        </w:r>
      </w:hyperlink>
      <w:r w:rsidR="00293939" w:rsidRPr="00293939">
        <w:rPr>
          <w:rFonts w:ascii="Palatino Linotype" w:hAnsi="Palatino Linotype"/>
        </w:rPr>
        <w:t>, Merrill v. Milligan, No.21-1086 &amp; No.21-1087 (Jul. 11, 2022).</w:t>
      </w:r>
    </w:p>
    <w:p w14:paraId="147E57D9" w14:textId="77777777" w:rsidR="00293939" w:rsidRPr="00293939" w:rsidRDefault="00CD2079" w:rsidP="00293939">
      <w:pPr>
        <w:spacing w:line="240" w:lineRule="auto"/>
        <w:rPr>
          <w:rFonts w:ascii="Palatino Linotype" w:hAnsi="Palatino Linotype"/>
        </w:rPr>
      </w:pPr>
      <w:hyperlink r:id="rId17" w:history="1">
        <w:r w:rsidR="00293939" w:rsidRPr="00293939">
          <w:rPr>
            <w:rStyle w:val="Hyperlink"/>
            <w:rFonts w:ascii="Palatino Linotype" w:hAnsi="Palatino Linotype"/>
          </w:rPr>
          <w:t>Brief for Milligan Appellees</w:t>
        </w:r>
      </w:hyperlink>
      <w:r w:rsidR="00293939" w:rsidRPr="00293939">
        <w:rPr>
          <w:rFonts w:ascii="Palatino Linotype" w:hAnsi="Palatino Linotype"/>
        </w:rPr>
        <w:t>, Merrill v. Milligan, No.21-1086 (Jul. 11, 2022).</w:t>
      </w:r>
    </w:p>
    <w:p w14:paraId="4DFCCFEF" w14:textId="77777777" w:rsidR="00293939" w:rsidRPr="00293939" w:rsidRDefault="00CD2079" w:rsidP="00293939">
      <w:pPr>
        <w:spacing w:line="240" w:lineRule="auto"/>
        <w:rPr>
          <w:rFonts w:ascii="Palatino Linotype" w:hAnsi="Palatino Linotype"/>
        </w:rPr>
      </w:pPr>
      <w:hyperlink r:id="rId18" w:history="1">
        <w:r w:rsidR="00293939" w:rsidRPr="00293939">
          <w:rPr>
            <w:rStyle w:val="Hyperlink"/>
            <w:rFonts w:ascii="Palatino Linotype" w:hAnsi="Palatino Linotype"/>
          </w:rPr>
          <w:t>Brief of Amicus Curiae Campaign Legal Center in Support of Appellees and Respondents,</w:t>
        </w:r>
      </w:hyperlink>
      <w:r w:rsidR="00293939" w:rsidRPr="00293939">
        <w:rPr>
          <w:rFonts w:ascii="Palatino Linotype" w:hAnsi="Palatino Linotype"/>
        </w:rPr>
        <w:t xml:space="preserve"> Merrill v. Milligan, No.21-1086 &amp; No.21-1087 (Jul. 18, 2022).</w:t>
      </w:r>
    </w:p>
    <w:p w14:paraId="5629C1C7" w14:textId="77777777" w:rsidR="00293939" w:rsidRPr="00293939" w:rsidRDefault="00CD2079" w:rsidP="00293939">
      <w:pPr>
        <w:spacing w:line="240" w:lineRule="auto"/>
        <w:rPr>
          <w:rFonts w:ascii="Palatino Linotype" w:hAnsi="Palatino Linotype"/>
        </w:rPr>
      </w:pPr>
      <w:hyperlink r:id="rId19" w:history="1">
        <w:r w:rsidR="00293939" w:rsidRPr="00293939">
          <w:rPr>
            <w:rStyle w:val="Hyperlink"/>
            <w:rFonts w:ascii="Palatino Linotype" w:hAnsi="Palatino Linotype"/>
          </w:rPr>
          <w:t>Petition for Writ of Certiorari</w:t>
        </w:r>
      </w:hyperlink>
      <w:r w:rsidR="00293939" w:rsidRPr="00293939">
        <w:rPr>
          <w:rFonts w:ascii="Palatino Linotype" w:hAnsi="Palatino Linotype"/>
        </w:rPr>
        <w:t>, Moore v. Harper, No. 21-1271 (Mar. 17, 2022).</w:t>
      </w:r>
    </w:p>
    <w:p w14:paraId="796032DA" w14:textId="0B307515" w:rsidR="00293939" w:rsidRPr="00293939" w:rsidRDefault="00CD2079" w:rsidP="00293939">
      <w:pPr>
        <w:spacing w:line="240" w:lineRule="auto"/>
        <w:rPr>
          <w:rFonts w:ascii="Palatino Linotype" w:hAnsi="Palatino Linotype"/>
        </w:rPr>
      </w:pPr>
      <w:hyperlink r:id="rId20" w:history="1">
        <w:r w:rsidR="00293939" w:rsidRPr="00293939">
          <w:rPr>
            <w:rStyle w:val="Hyperlink"/>
            <w:rFonts w:ascii="Palatino Linotype" w:hAnsi="Palatino Linotype"/>
          </w:rPr>
          <w:t>Brief for Petitioners</w:t>
        </w:r>
      </w:hyperlink>
      <w:r w:rsidR="00293939" w:rsidRPr="00293939">
        <w:rPr>
          <w:rFonts w:ascii="Palatino Linotype" w:hAnsi="Palatino Linotype"/>
        </w:rPr>
        <w:t>, Moore v. Harper, No. 21-1271(Aug. 29, 2022).</w:t>
      </w:r>
    </w:p>
    <w:p w14:paraId="4632C161" w14:textId="77777777" w:rsidR="00293939" w:rsidRPr="00293939" w:rsidRDefault="00CD2079" w:rsidP="00293939">
      <w:pPr>
        <w:spacing w:line="240" w:lineRule="auto"/>
        <w:rPr>
          <w:rFonts w:ascii="Palatino Linotype" w:hAnsi="Palatino Linotype"/>
        </w:rPr>
      </w:pPr>
      <w:hyperlink r:id="rId21" w:history="1">
        <w:r w:rsidR="00293939" w:rsidRPr="00293939">
          <w:rPr>
            <w:rStyle w:val="Hyperlink"/>
            <w:rFonts w:ascii="Palatino Linotype" w:hAnsi="Palatino Linotype"/>
          </w:rPr>
          <w:t>Brief in Opposition of Respondents North Carolina League of Conservation Voters, Inc. et al</w:t>
        </w:r>
      </w:hyperlink>
      <w:r w:rsidR="00293939" w:rsidRPr="00293939">
        <w:rPr>
          <w:rFonts w:ascii="Palatino Linotype" w:hAnsi="Palatino Linotype"/>
        </w:rPr>
        <w:t>., Moore v. Harper, No. 21-1271 (May 20, 2022).</w:t>
      </w:r>
    </w:p>
    <w:p w14:paraId="24318B05" w14:textId="77777777" w:rsidR="00293939" w:rsidRPr="00293939" w:rsidRDefault="00CD2079" w:rsidP="00293939">
      <w:pPr>
        <w:spacing w:line="240" w:lineRule="auto"/>
        <w:rPr>
          <w:rFonts w:ascii="Palatino Linotype" w:hAnsi="Palatino Linotype"/>
        </w:rPr>
      </w:pPr>
      <w:hyperlink r:id="rId22" w:history="1">
        <w:r w:rsidR="00293939" w:rsidRPr="00293939">
          <w:rPr>
            <w:rStyle w:val="Hyperlink"/>
            <w:rFonts w:ascii="Palatino Linotype" w:hAnsi="Palatino Linotype"/>
          </w:rPr>
          <w:t>Brief in Opposition by State Respondents</w:t>
        </w:r>
      </w:hyperlink>
      <w:r w:rsidR="00293939" w:rsidRPr="00293939">
        <w:rPr>
          <w:rFonts w:ascii="Palatino Linotype" w:hAnsi="Palatino Linotype"/>
        </w:rPr>
        <w:t>, Moore v. Harper, No. 21-1271 (May 20, 2022).</w:t>
      </w:r>
    </w:p>
    <w:p w14:paraId="1BAEFE0F" w14:textId="77777777" w:rsidR="00293939" w:rsidRPr="00293939" w:rsidRDefault="00CD2079" w:rsidP="00293939">
      <w:pPr>
        <w:spacing w:line="240" w:lineRule="auto"/>
        <w:rPr>
          <w:rFonts w:ascii="Palatino Linotype" w:hAnsi="Palatino Linotype"/>
        </w:rPr>
      </w:pPr>
      <w:hyperlink r:id="rId23" w:history="1">
        <w:r w:rsidR="00293939" w:rsidRPr="00293939">
          <w:rPr>
            <w:rStyle w:val="Hyperlink"/>
            <w:rFonts w:ascii="Palatino Linotype" w:hAnsi="Palatino Linotype"/>
          </w:rPr>
          <w:t>Brief in Opposition of Respondent Common Cause</w:t>
        </w:r>
      </w:hyperlink>
      <w:r w:rsidR="00293939" w:rsidRPr="00293939">
        <w:rPr>
          <w:rFonts w:ascii="Palatino Linotype" w:hAnsi="Palatino Linotype"/>
        </w:rPr>
        <w:t>, Moore v. Harper, No. 21-1271 (May 20, 2022).</w:t>
      </w:r>
    </w:p>
    <w:p w14:paraId="2355449E" w14:textId="77777777" w:rsidR="00293939" w:rsidRPr="00293939" w:rsidRDefault="00CD2079" w:rsidP="00293939">
      <w:pPr>
        <w:spacing w:line="240" w:lineRule="auto"/>
        <w:rPr>
          <w:rFonts w:ascii="Palatino Linotype" w:hAnsi="Palatino Linotype"/>
        </w:rPr>
      </w:pPr>
      <w:hyperlink r:id="rId24" w:history="1">
        <w:r w:rsidR="00293939" w:rsidRPr="00293939">
          <w:rPr>
            <w:rStyle w:val="Hyperlink"/>
            <w:rFonts w:ascii="Palatino Linotype" w:hAnsi="Palatino Linotype"/>
          </w:rPr>
          <w:t>Brief for Harper Respondents in Opposition</w:t>
        </w:r>
      </w:hyperlink>
      <w:r w:rsidR="00293939" w:rsidRPr="00293939">
        <w:rPr>
          <w:rFonts w:ascii="Palatino Linotype" w:hAnsi="Palatino Linotype"/>
        </w:rPr>
        <w:t>, Moore v. Harper, No. 21-1271 (May 20, 2022).</w:t>
      </w:r>
    </w:p>
    <w:p w14:paraId="01288A50" w14:textId="77777777" w:rsidR="00293939" w:rsidRDefault="00CD2079" w:rsidP="00293939">
      <w:pPr>
        <w:spacing w:line="240" w:lineRule="auto"/>
        <w:rPr>
          <w:rFonts w:ascii="Palatino Linotype" w:hAnsi="Palatino Linotype"/>
        </w:rPr>
      </w:pPr>
      <w:hyperlink r:id="rId25" w:history="1">
        <w:r w:rsidR="00293939" w:rsidRPr="00293939">
          <w:rPr>
            <w:rStyle w:val="Hyperlink"/>
            <w:rFonts w:ascii="Palatino Linotype" w:hAnsi="Palatino Linotype"/>
          </w:rPr>
          <w:t>Brief of Amicus Curiae Conference of Chief Justices in Support of Neither Party</w:t>
        </w:r>
      </w:hyperlink>
      <w:r w:rsidR="00293939" w:rsidRPr="00293939">
        <w:rPr>
          <w:rFonts w:ascii="Palatino Linotype" w:hAnsi="Palatino Linotype"/>
        </w:rPr>
        <w:t>, Moore v. Harper, No. 21-1271 (Sept. 6, 2022).</w:t>
      </w:r>
    </w:p>
    <w:p w14:paraId="7F43B89E" w14:textId="77777777" w:rsidR="00336143" w:rsidRPr="00336143" w:rsidRDefault="00CD2079" w:rsidP="00336143">
      <w:pPr>
        <w:spacing w:line="240" w:lineRule="auto"/>
        <w:rPr>
          <w:rFonts w:ascii="Palatino Linotype" w:hAnsi="Palatino Linotype"/>
        </w:rPr>
      </w:pPr>
      <w:hyperlink r:id="rId26" w:history="1">
        <w:r w:rsidR="00336143" w:rsidRPr="00336143">
          <w:rPr>
            <w:rStyle w:val="Hyperlink"/>
            <w:rFonts w:ascii="Palatino Linotype" w:hAnsi="Palatino Linotype"/>
          </w:rPr>
          <w:t>Brief for Petitioner</w:t>
        </w:r>
      </w:hyperlink>
      <w:r w:rsidR="00336143" w:rsidRPr="00336143">
        <w:rPr>
          <w:rFonts w:ascii="Palatino Linotype" w:hAnsi="Palatino Linotype"/>
        </w:rPr>
        <w:t>, Student for Fair Admissions, Inc., v. President &amp; Fellows of Harvard College, No. 20-1199&amp; No. 21-707 (May 2, 2022).</w:t>
      </w:r>
    </w:p>
    <w:p w14:paraId="640E93AF" w14:textId="77777777" w:rsidR="00336143" w:rsidRPr="00336143" w:rsidRDefault="00CD2079" w:rsidP="00336143">
      <w:pPr>
        <w:spacing w:line="240" w:lineRule="auto"/>
        <w:rPr>
          <w:rFonts w:ascii="Palatino Linotype" w:hAnsi="Palatino Linotype"/>
        </w:rPr>
      </w:pPr>
      <w:hyperlink r:id="rId27" w:history="1">
        <w:r w:rsidR="00336143" w:rsidRPr="00336143">
          <w:rPr>
            <w:rStyle w:val="Hyperlink"/>
            <w:rFonts w:ascii="Palatino Linotype" w:hAnsi="Palatino Linotype"/>
          </w:rPr>
          <w:t>Brief for Respondent</w:t>
        </w:r>
      </w:hyperlink>
      <w:r w:rsidR="00336143" w:rsidRPr="00336143">
        <w:rPr>
          <w:rFonts w:ascii="Palatino Linotype" w:hAnsi="Palatino Linotype"/>
        </w:rPr>
        <w:t>, Student for Fair Admissions, Inc., v. President &amp; Fellows of Harvard College, No. 20-1199 (Jul. 25, 2022).</w:t>
      </w:r>
    </w:p>
    <w:p w14:paraId="1E449E62" w14:textId="77777777" w:rsidR="00336143" w:rsidRPr="00336143" w:rsidRDefault="00CD2079" w:rsidP="00336143">
      <w:pPr>
        <w:spacing w:line="240" w:lineRule="auto"/>
        <w:rPr>
          <w:rFonts w:ascii="Palatino Linotype" w:hAnsi="Palatino Linotype"/>
        </w:rPr>
      </w:pPr>
      <w:hyperlink r:id="rId28" w:history="1">
        <w:r w:rsidR="00336143" w:rsidRPr="00336143">
          <w:rPr>
            <w:rStyle w:val="Hyperlink"/>
            <w:rFonts w:ascii="Palatino Linotype" w:hAnsi="Palatino Linotype"/>
          </w:rPr>
          <w:t>Brief by University Respondents</w:t>
        </w:r>
      </w:hyperlink>
      <w:r w:rsidR="00336143" w:rsidRPr="00336143">
        <w:rPr>
          <w:rFonts w:ascii="Palatino Linotype" w:hAnsi="Palatino Linotype"/>
        </w:rPr>
        <w:t>, Students for Fair Admission v. University of North Carolina, No. 21-707 (Jul. 25, 2022).</w:t>
      </w:r>
    </w:p>
    <w:p w14:paraId="7FFF8452" w14:textId="3F7A4479" w:rsidR="005F6498" w:rsidRPr="00336143" w:rsidRDefault="00CD2079" w:rsidP="00293939">
      <w:pPr>
        <w:spacing w:line="240" w:lineRule="auto"/>
        <w:rPr>
          <w:rFonts w:ascii="Palatino Linotype" w:hAnsi="Palatino Linotype"/>
        </w:rPr>
      </w:pPr>
      <w:hyperlink r:id="rId29" w:history="1">
        <w:r w:rsidR="00336143" w:rsidRPr="00336143">
          <w:rPr>
            <w:rStyle w:val="Hyperlink"/>
            <w:rFonts w:ascii="Palatino Linotype" w:hAnsi="Palatino Linotype"/>
          </w:rPr>
          <w:t>Brief for Respondent-Students</w:t>
        </w:r>
      </w:hyperlink>
      <w:r w:rsidR="00336143" w:rsidRPr="00336143">
        <w:rPr>
          <w:rFonts w:ascii="Palatino Linotype" w:hAnsi="Palatino Linotype"/>
        </w:rPr>
        <w:t>, Students for Fair Admission v. University of North Carolina, No. 21-707 (Jul. 25, 2022).</w:t>
      </w:r>
    </w:p>
    <w:p w14:paraId="60D5767F" w14:textId="77777777" w:rsidR="00293939" w:rsidRPr="00293939" w:rsidRDefault="00CD2079" w:rsidP="00293939">
      <w:pPr>
        <w:spacing w:line="240" w:lineRule="auto"/>
        <w:rPr>
          <w:rFonts w:ascii="Palatino Linotype" w:hAnsi="Palatino Linotype"/>
        </w:rPr>
      </w:pPr>
      <w:hyperlink r:id="rId30" w:history="1">
        <w:r w:rsidR="00293939" w:rsidRPr="00293939">
          <w:rPr>
            <w:rStyle w:val="Hyperlink"/>
            <w:rFonts w:ascii="Palatino Linotype" w:hAnsi="Palatino Linotype"/>
          </w:rPr>
          <w:t>Brief of Petitioner</w:t>
        </w:r>
      </w:hyperlink>
      <w:r w:rsidR="00293939" w:rsidRPr="00293939">
        <w:rPr>
          <w:rFonts w:ascii="Palatino Linotype" w:hAnsi="Palatino Linotype"/>
        </w:rPr>
        <w:t xml:space="preserve">, 303 Creative LLC v. Elenis, No. 21-476 (May 26, 2022). </w:t>
      </w:r>
    </w:p>
    <w:p w14:paraId="782FC7EA" w14:textId="77777777" w:rsidR="00293939" w:rsidRPr="00293939" w:rsidRDefault="00CD2079" w:rsidP="00293939">
      <w:pPr>
        <w:spacing w:line="240" w:lineRule="auto"/>
        <w:rPr>
          <w:rFonts w:ascii="Palatino Linotype" w:hAnsi="Palatino Linotype"/>
        </w:rPr>
      </w:pPr>
      <w:hyperlink r:id="rId31" w:history="1">
        <w:r w:rsidR="00293939" w:rsidRPr="00293939">
          <w:rPr>
            <w:rStyle w:val="Hyperlink"/>
            <w:rFonts w:ascii="Palatino Linotype" w:hAnsi="Palatino Linotype"/>
          </w:rPr>
          <w:t>Brief on the Merits for Respondents</w:t>
        </w:r>
      </w:hyperlink>
      <w:r w:rsidR="00293939" w:rsidRPr="00293939">
        <w:rPr>
          <w:rFonts w:ascii="Palatino Linotype" w:hAnsi="Palatino Linotype"/>
        </w:rPr>
        <w:t xml:space="preserve">, 303 Creative LLC v. Elenis, No. 21-476 (Aug. 12, 2022). </w:t>
      </w:r>
    </w:p>
    <w:p w14:paraId="5C155DC8" w14:textId="77777777" w:rsidR="00293939" w:rsidRPr="00293939" w:rsidRDefault="00CD2079" w:rsidP="00293939">
      <w:pPr>
        <w:spacing w:line="240" w:lineRule="auto"/>
        <w:rPr>
          <w:rFonts w:ascii="Palatino Linotype" w:hAnsi="Palatino Linotype"/>
        </w:rPr>
      </w:pPr>
      <w:hyperlink r:id="rId32" w:history="1">
        <w:r w:rsidR="00293939" w:rsidRPr="00293939">
          <w:rPr>
            <w:rStyle w:val="Hyperlink"/>
            <w:rFonts w:ascii="Palatino Linotype" w:hAnsi="Palatino Linotype"/>
          </w:rPr>
          <w:t>Brief of Professor Kent Greenfield as Amicus Curiae in Support of Neither Party</w:t>
        </w:r>
      </w:hyperlink>
      <w:r w:rsidR="00293939" w:rsidRPr="00293939">
        <w:rPr>
          <w:rFonts w:ascii="Palatino Linotype" w:hAnsi="Palatino Linotype"/>
        </w:rPr>
        <w:t xml:space="preserve">, 303 Creative LLC v. Elenis, No. 21-476 (June 2, 2022). </w:t>
      </w:r>
    </w:p>
    <w:p w14:paraId="0EF73EE7" w14:textId="77777777" w:rsidR="00293939" w:rsidRPr="00293939" w:rsidRDefault="00293939" w:rsidP="00293939">
      <w:pPr>
        <w:spacing w:line="240" w:lineRule="auto"/>
        <w:rPr>
          <w:rFonts w:ascii="Palatino Linotype" w:hAnsi="Palatino Linotype"/>
        </w:rPr>
      </w:pPr>
      <w:r w:rsidRPr="00293939">
        <w:rPr>
          <w:rFonts w:ascii="Palatino Linotype" w:hAnsi="Palatino Linotype"/>
        </w:rPr>
        <w:t xml:space="preserve">Amy Howe, </w:t>
      </w:r>
      <w:hyperlink r:id="rId33" w:history="1">
        <w:r w:rsidRPr="00293939">
          <w:rPr>
            <w:rStyle w:val="Hyperlink"/>
            <w:rFonts w:ascii="Palatino Linotype" w:hAnsi="Palatino Linotype"/>
            <w:i/>
            <w:iCs/>
          </w:rPr>
          <w:t>Divided Court Declines to Reinstate Biden's Immigration Guidelines, Sets Case for Argument This Fall</w:t>
        </w:r>
      </w:hyperlink>
      <w:r w:rsidRPr="00293939">
        <w:rPr>
          <w:rFonts w:ascii="Palatino Linotype" w:hAnsi="Palatino Linotype"/>
        </w:rPr>
        <w:t xml:space="preserve">, </w:t>
      </w:r>
      <w:r w:rsidRPr="00293939">
        <w:rPr>
          <w:rFonts w:ascii="Palatino Linotype" w:hAnsi="Palatino Linotype"/>
          <w:smallCaps/>
        </w:rPr>
        <w:t>SCOTUSblog</w:t>
      </w:r>
      <w:r w:rsidRPr="00293939">
        <w:rPr>
          <w:rFonts w:ascii="Palatino Linotype" w:hAnsi="Palatino Linotype"/>
        </w:rPr>
        <w:t xml:space="preserve"> (Jul., 21, 2022).</w:t>
      </w:r>
    </w:p>
    <w:p w14:paraId="286B616A" w14:textId="77777777" w:rsidR="00293939" w:rsidRPr="00293939" w:rsidRDefault="00293939" w:rsidP="00293939">
      <w:pPr>
        <w:spacing w:line="240" w:lineRule="auto"/>
        <w:rPr>
          <w:rFonts w:ascii="Palatino Linotype" w:hAnsi="Palatino Linotype"/>
        </w:rPr>
      </w:pPr>
      <w:r w:rsidRPr="00293939">
        <w:rPr>
          <w:rFonts w:ascii="Palatino Linotype" w:hAnsi="Palatino Linotype"/>
        </w:rPr>
        <w:lastRenderedPageBreak/>
        <w:t xml:space="preserve">Deborah Archer, </w:t>
      </w:r>
      <w:hyperlink r:id="rId34" w:history="1">
        <w:r w:rsidRPr="00293939">
          <w:rPr>
            <w:rStyle w:val="Hyperlink"/>
            <w:rFonts w:ascii="Palatino Linotype" w:hAnsi="Palatino Linotype"/>
            <w:i/>
            <w:iCs/>
          </w:rPr>
          <w:t>Race-Conscious Admissions Policies Are Crucial To An Equitable Society</w:t>
        </w:r>
      </w:hyperlink>
      <w:r w:rsidRPr="00293939">
        <w:rPr>
          <w:rFonts w:ascii="Palatino Linotype" w:hAnsi="Palatino Linotype"/>
          <w:b/>
          <w:bCs/>
        </w:rPr>
        <w:t xml:space="preserve">, </w:t>
      </w:r>
      <w:r w:rsidRPr="00293939">
        <w:rPr>
          <w:rFonts w:ascii="Palatino Linotype" w:hAnsi="Palatino Linotype"/>
          <w:smallCaps/>
        </w:rPr>
        <w:t>Bloomberg Law</w:t>
      </w:r>
      <w:r w:rsidRPr="00293939">
        <w:rPr>
          <w:rFonts w:ascii="Palatino Linotype" w:hAnsi="Palatino Linotype"/>
        </w:rPr>
        <w:t xml:space="preserve"> (Feb. 1, 2022).</w:t>
      </w:r>
    </w:p>
    <w:p w14:paraId="3ABBB293" w14:textId="77777777" w:rsidR="00293939" w:rsidRDefault="00293939" w:rsidP="00293939">
      <w:pPr>
        <w:spacing w:line="240" w:lineRule="auto"/>
        <w:rPr>
          <w:rFonts w:ascii="Palatino Linotype" w:hAnsi="Palatino Linotype"/>
        </w:rPr>
      </w:pPr>
    </w:p>
    <w:p w14:paraId="0B4EBF6F" w14:textId="77777777" w:rsidR="00293939" w:rsidRDefault="00293939" w:rsidP="00293939">
      <w:pPr>
        <w:spacing w:line="240" w:lineRule="auto"/>
        <w:rPr>
          <w:rFonts w:ascii="Palatino Linotype" w:hAnsi="Palatino Linotype"/>
        </w:rPr>
      </w:pPr>
    </w:p>
    <w:p w14:paraId="5D085888" w14:textId="77777777" w:rsidR="00293939" w:rsidRDefault="00293939" w:rsidP="00293939">
      <w:pPr>
        <w:spacing w:line="240" w:lineRule="auto"/>
        <w:rPr>
          <w:rFonts w:ascii="Palatino Linotype" w:hAnsi="Palatino Linotype"/>
        </w:rPr>
      </w:pPr>
    </w:p>
    <w:p w14:paraId="099527E0" w14:textId="77777777" w:rsidR="00021B12" w:rsidRDefault="00021B12" w:rsidP="000D2E15">
      <w:pPr>
        <w:spacing w:after="160" w:line="259" w:lineRule="auto"/>
        <w:rPr>
          <w:rFonts w:ascii="Palatino Linotype" w:hAnsi="Palatino Linotype"/>
          <w:b/>
          <w:bCs/>
        </w:rPr>
      </w:pPr>
    </w:p>
    <w:p w14:paraId="249D1719" w14:textId="6131D293" w:rsidR="00CD0FC0" w:rsidRPr="008F3F25" w:rsidRDefault="00CD0FC0">
      <w:pPr>
        <w:rPr>
          <w:rFonts w:ascii="Palatino Linotype" w:hAnsi="Palatino Linotype"/>
        </w:rPr>
      </w:pPr>
    </w:p>
    <w:sectPr w:rsidR="00CD0FC0" w:rsidRPr="008F3F25" w:rsidSect="00B11AD6">
      <w:headerReference w:type="default" r:id="rId35"/>
      <w:footerReference w:type="default" r:id="rId36"/>
      <w:headerReference w:type="first" r:id="rId37"/>
      <w:footerReference w:type="first" r:id="rId38"/>
      <w:pgSz w:w="12240" w:h="15840"/>
      <w:pgMar w:top="1728" w:right="1728" w:bottom="245" w:left="8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064D" w14:textId="77777777" w:rsidR="0059369B" w:rsidRDefault="0059369B">
      <w:pPr>
        <w:spacing w:after="0" w:line="240" w:lineRule="auto"/>
      </w:pPr>
      <w:r>
        <w:separator/>
      </w:r>
    </w:p>
  </w:endnote>
  <w:endnote w:type="continuationSeparator" w:id="0">
    <w:p w14:paraId="7D1BF2A8" w14:textId="77777777" w:rsidR="0059369B" w:rsidRDefault="00593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79942"/>
      <w:docPartObj>
        <w:docPartGallery w:val="Page Numbers (Bottom of Page)"/>
        <w:docPartUnique/>
      </w:docPartObj>
    </w:sdtPr>
    <w:sdtEndPr>
      <w:rPr>
        <w:rFonts w:ascii="Tahoma" w:hAnsi="Tahoma" w:cs="Tahoma"/>
        <w:noProof/>
        <w:sz w:val="20"/>
        <w:szCs w:val="20"/>
      </w:rPr>
    </w:sdtEndPr>
    <w:sdtContent>
      <w:p w14:paraId="66A27CA4" w14:textId="77777777" w:rsidR="00B11AD6" w:rsidRPr="00DB7C3B" w:rsidRDefault="000B468A" w:rsidP="00B11AD6">
        <w:pPr>
          <w:pStyle w:val="Footer"/>
          <w:jc w:val="center"/>
          <w:rPr>
            <w:rFonts w:ascii="Tahoma" w:hAnsi="Tahoma" w:cs="Tahoma"/>
            <w:sz w:val="20"/>
            <w:szCs w:val="20"/>
          </w:rPr>
        </w:pPr>
        <w:r w:rsidRPr="00DB7C3B">
          <w:rPr>
            <w:rFonts w:ascii="Tahoma" w:hAnsi="Tahoma" w:cs="Tahoma"/>
            <w:sz w:val="20"/>
            <w:szCs w:val="20"/>
          </w:rPr>
          <w:fldChar w:fldCharType="begin"/>
        </w:r>
        <w:r w:rsidRPr="00DB7C3B">
          <w:rPr>
            <w:rFonts w:ascii="Tahoma" w:hAnsi="Tahoma" w:cs="Tahoma"/>
            <w:sz w:val="20"/>
            <w:szCs w:val="20"/>
          </w:rPr>
          <w:instrText xml:space="preserve"> PAGE   \* MERGEFORMAT </w:instrText>
        </w:r>
        <w:r w:rsidRPr="00DB7C3B">
          <w:rPr>
            <w:rFonts w:ascii="Tahoma" w:hAnsi="Tahoma" w:cs="Tahoma"/>
            <w:sz w:val="20"/>
            <w:szCs w:val="20"/>
          </w:rPr>
          <w:fldChar w:fldCharType="separate"/>
        </w:r>
        <w:r w:rsidRPr="00DB7C3B">
          <w:rPr>
            <w:rFonts w:ascii="Tahoma" w:hAnsi="Tahoma" w:cs="Tahoma"/>
            <w:noProof/>
            <w:sz w:val="20"/>
            <w:szCs w:val="20"/>
          </w:rPr>
          <w:t>24</w:t>
        </w:r>
        <w:r w:rsidRPr="00DB7C3B">
          <w:rPr>
            <w:rFonts w:ascii="Tahoma" w:hAnsi="Tahoma" w:cs="Tahoma"/>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8417" w14:textId="77777777" w:rsidR="00B11AD6" w:rsidRPr="00F62E77" w:rsidRDefault="000B468A" w:rsidP="00B11AD6">
    <w:pPr>
      <w:pStyle w:val="BodyText"/>
      <w:spacing w:before="100"/>
      <w:ind w:left="120"/>
      <w:jc w:val="center"/>
      <w:rPr>
        <w:rFonts w:ascii="Tahoma" w:hAnsi="Tahoma"/>
        <w:sz w:val="20"/>
        <w:szCs w:val="20"/>
      </w:rPr>
    </w:pPr>
    <w:r w:rsidRPr="00F62E77">
      <w:rPr>
        <w:rFonts w:ascii="Tahoma" w:hAnsi="Tahoma"/>
        <w:color w:val="25337A"/>
        <w:sz w:val="20"/>
        <w:szCs w:val="20"/>
      </w:rPr>
      <w:t xml:space="preserve">1899 L Street NW, Suite 200 </w:t>
    </w:r>
    <w:r w:rsidRPr="00F62E77">
      <w:rPr>
        <w:rFonts w:ascii="Tahoma" w:hAnsi="Tahoma"/>
        <w:color w:val="AA1E2D"/>
        <w:sz w:val="20"/>
        <w:szCs w:val="20"/>
      </w:rPr>
      <w:t xml:space="preserve">| </w:t>
    </w:r>
    <w:r w:rsidRPr="00F62E77">
      <w:rPr>
        <w:rFonts w:ascii="Tahoma" w:hAnsi="Tahoma"/>
        <w:color w:val="25337A"/>
        <w:sz w:val="20"/>
        <w:szCs w:val="20"/>
      </w:rPr>
      <w:t xml:space="preserve">Washington, DC 20036 </w:t>
    </w:r>
    <w:r w:rsidRPr="00F62E77">
      <w:rPr>
        <w:rFonts w:ascii="Tahoma" w:hAnsi="Tahoma"/>
        <w:color w:val="AA1E2D"/>
        <w:sz w:val="20"/>
        <w:szCs w:val="20"/>
      </w:rPr>
      <w:t xml:space="preserve">| </w:t>
    </w:r>
    <w:r w:rsidRPr="00F62E77">
      <w:rPr>
        <w:rFonts w:ascii="Tahoma" w:hAnsi="Tahoma"/>
        <w:color w:val="25337A"/>
        <w:sz w:val="20"/>
        <w:szCs w:val="20"/>
      </w:rPr>
      <w:t xml:space="preserve">202.393.6181 </w:t>
    </w:r>
    <w:r w:rsidRPr="00F62E77">
      <w:rPr>
        <w:rFonts w:ascii="Tahoma" w:hAnsi="Tahoma"/>
        <w:color w:val="AA1E2D"/>
        <w:sz w:val="20"/>
        <w:szCs w:val="20"/>
      </w:rPr>
      <w:t xml:space="preserve">| </w:t>
    </w:r>
    <w:hyperlink r:id="rId1">
      <w:r w:rsidRPr="00F62E77">
        <w:rPr>
          <w:rFonts w:ascii="Tahoma" w:hAnsi="Tahoma"/>
          <w:color w:val="25337A"/>
          <w:sz w:val="20"/>
          <w:szCs w:val="20"/>
        </w:rPr>
        <w:t>info@acslaw.org</w:t>
      </w:r>
    </w:hyperlink>
    <w:r w:rsidRPr="00F62E77">
      <w:rPr>
        <w:rFonts w:ascii="Tahoma" w:hAnsi="Tahoma"/>
        <w:color w:val="25337A"/>
        <w:sz w:val="20"/>
        <w:szCs w:val="20"/>
      </w:rPr>
      <w:t xml:space="preserve"> </w:t>
    </w:r>
    <w:r w:rsidRPr="00F62E77">
      <w:rPr>
        <w:rFonts w:ascii="Tahoma" w:hAnsi="Tahoma"/>
        <w:color w:val="AA1E2D"/>
        <w:sz w:val="20"/>
        <w:szCs w:val="20"/>
      </w:rPr>
      <w:t xml:space="preserve">| </w:t>
    </w:r>
    <w:r w:rsidRPr="00F62E77">
      <w:rPr>
        <w:rFonts w:ascii="Tahoma" w:hAnsi="Tahoma"/>
        <w:color w:val="25337A"/>
        <w:sz w:val="20"/>
        <w:szCs w:val="20"/>
      </w:rPr>
      <w:t>acslaw.org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F083" w14:textId="77777777" w:rsidR="0059369B" w:rsidRDefault="0059369B">
      <w:pPr>
        <w:spacing w:after="0" w:line="240" w:lineRule="auto"/>
      </w:pPr>
      <w:r>
        <w:separator/>
      </w:r>
    </w:p>
  </w:footnote>
  <w:footnote w:type="continuationSeparator" w:id="0">
    <w:p w14:paraId="13F91478" w14:textId="77777777" w:rsidR="0059369B" w:rsidRDefault="00593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50D8" w14:textId="77777777" w:rsidR="00B11AD6" w:rsidRPr="00996194" w:rsidRDefault="000B468A" w:rsidP="00B11AD6">
    <w:pPr>
      <w:pStyle w:val="Heading1"/>
    </w:pPr>
    <w:r>
      <w:rPr>
        <w:rFonts w:ascii="Times New Roman"/>
      </w:rPr>
      <w:drawing>
        <wp:inline distT="0" distB="0" distL="0" distR="0" wp14:anchorId="2D31328E" wp14:editId="536D2E6D">
          <wp:extent cx="2438400" cy="537444"/>
          <wp:effectExtent l="0" t="0" r="0" b="0"/>
          <wp:docPr id="7" name="Picture 7" descr="Macintosh HD:Users:AlizahEpstein:Documents:CLIENTS_HD:American Constitution Society (ACS):005_marketing matrials:branding guidelines_ACS:ACS-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izahEpstein:Documents:CLIENTS_HD:American Constitution Society (ACS):005_marketing matrials:branding guidelines_ACS:ACS-Logo.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567" cy="537922"/>
                  </a:xfrm>
                  <a:prstGeom prst="rect">
                    <a:avLst/>
                  </a:prstGeom>
                  <a:noFill/>
                  <a:ln>
                    <a:noFill/>
                  </a:ln>
                </pic:spPr>
              </pic:pic>
            </a:graphicData>
          </a:graphic>
        </wp:inline>
      </w:drawing>
    </w:r>
    <w:r w:rsidRPr="00996194">
      <mc:AlternateContent>
        <mc:Choice Requires="wps">
          <w:drawing>
            <wp:anchor distT="0" distB="0" distL="114300" distR="114300" simplePos="0" relativeHeight="251660288" behindDoc="0" locked="0" layoutInCell="1" allowOverlap="1" wp14:anchorId="1E9AF852" wp14:editId="3A352AC5">
              <wp:simplePos x="0" y="0"/>
              <wp:positionH relativeFrom="page">
                <wp:posOffset>7195820</wp:posOffset>
              </wp:positionH>
              <wp:positionV relativeFrom="page">
                <wp:posOffset>0</wp:posOffset>
              </wp:positionV>
              <wp:extent cx="576580" cy="10058400"/>
              <wp:effectExtent l="0" t="0" r="12700" b="12700"/>
              <wp:wrapThrough wrapText="bothSides">
                <wp:wrapPolygon edited="0">
                  <wp:start x="205248" y="0"/>
                  <wp:lineTo x="-4758" y="20945"/>
                  <wp:lineTo x="-4758" y="21559"/>
                  <wp:lineTo x="295953" y="21559"/>
                  <wp:lineTo x="295953" y="0"/>
                  <wp:lineTo x="205248" y="0"/>
                </wp:wrapPolygon>
              </wp:wrapThrough>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4FCBC" id="Freeform 1" o:spid="_x0000_s1026" style="position:absolute;margin-left:566.6pt;margin-top:0;width:45.4pt;height:1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" path="m907,l680,,,15840r907,l907,xe" fillcolor="#25337a" stroked="f">
              <v:path arrowok="t" o:connecttype="custom" o:connectlocs="575945,0;431800,0;0,10058400;575945,10058400;575945,0" o:connectangles="0,0,0,0,0"/>
              <w10:wrap type="through"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AA4D" w14:textId="77777777" w:rsidR="00B11AD6" w:rsidRDefault="000B468A" w:rsidP="00B11AD6">
    <w:pPr>
      <w:pStyle w:val="Header"/>
    </w:pPr>
    <w:r>
      <w:rPr>
        <w:rFonts w:ascii="Times New Roman"/>
        <w:noProof/>
      </w:rPr>
      <w:drawing>
        <wp:inline distT="0" distB="0" distL="0" distR="0" wp14:anchorId="24B69E43" wp14:editId="0CE229E3">
          <wp:extent cx="2691652" cy="538162"/>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91652" cy="538162"/>
                  </a:xfrm>
                  <a:prstGeom prst="rect">
                    <a:avLst/>
                  </a:prstGeom>
                </pic:spPr>
              </pic:pic>
            </a:graphicData>
          </a:graphic>
        </wp:inline>
      </w:drawing>
    </w:r>
    <w:r>
      <w:rPr>
        <w:rFonts w:ascii="Times New Roman"/>
        <w:noProof/>
      </w:rPr>
      <mc:AlternateContent>
        <mc:Choice Requires="wps">
          <w:drawing>
            <wp:anchor distT="0" distB="0" distL="114300" distR="114300" simplePos="0" relativeHeight="251659264" behindDoc="0" locked="0" layoutInCell="1" allowOverlap="1" wp14:anchorId="5B6DB01F" wp14:editId="1A0A7A1E">
              <wp:simplePos x="0" y="0"/>
              <wp:positionH relativeFrom="page">
                <wp:posOffset>7196455</wp:posOffset>
              </wp:positionH>
              <wp:positionV relativeFrom="page">
                <wp:posOffset>0</wp:posOffset>
              </wp:positionV>
              <wp:extent cx="576072" cy="10058400"/>
              <wp:effectExtent l="0" t="0" r="0" b="0"/>
              <wp:wrapThrough wrapText="bothSides">
                <wp:wrapPolygon edited="0">
                  <wp:start x="14289" y="0"/>
                  <wp:lineTo x="714" y="18327"/>
                  <wp:lineTo x="0" y="20741"/>
                  <wp:lineTo x="0" y="21559"/>
                  <wp:lineTo x="20719" y="21559"/>
                  <wp:lineTo x="20719" y="0"/>
                  <wp:lineTo x="14289" y="0"/>
                </wp:wrapPolygon>
              </wp:wrapThrough>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 cy="10058400"/>
                      </a:xfrm>
                      <a:custGeom>
                        <a:avLst/>
                        <a:gdLst>
                          <a:gd name="T0" fmla="+- 0 12240 11333"/>
                          <a:gd name="T1" fmla="*/ T0 w 908"/>
                          <a:gd name="T2" fmla="*/ 0 h 15840"/>
                          <a:gd name="T3" fmla="+- 0 12013 11333"/>
                          <a:gd name="T4" fmla="*/ T3 w 908"/>
                          <a:gd name="T5" fmla="*/ 0 h 15840"/>
                          <a:gd name="T6" fmla="+- 0 11333 11333"/>
                          <a:gd name="T7" fmla="*/ T6 w 908"/>
                          <a:gd name="T8" fmla="*/ 15840 h 15840"/>
                          <a:gd name="T9" fmla="+- 0 12240 11333"/>
                          <a:gd name="T10" fmla="*/ T9 w 908"/>
                          <a:gd name="T11" fmla="*/ 15840 h 15840"/>
                          <a:gd name="T12" fmla="+- 0 12240 11333"/>
                          <a:gd name="T13" fmla="*/ T12 w 908"/>
                          <a:gd name="T14" fmla="*/ 0 h 15840"/>
                        </a:gdLst>
                        <a:ahLst/>
                        <a:cxnLst>
                          <a:cxn ang="0">
                            <a:pos x="T1" y="T2"/>
                          </a:cxn>
                          <a:cxn ang="0">
                            <a:pos x="T4" y="T5"/>
                          </a:cxn>
                          <a:cxn ang="0">
                            <a:pos x="T7" y="T8"/>
                          </a:cxn>
                          <a:cxn ang="0">
                            <a:pos x="T10" y="T11"/>
                          </a:cxn>
                          <a:cxn ang="0">
                            <a:pos x="T13" y="T14"/>
                          </a:cxn>
                        </a:cxnLst>
                        <a:rect l="0" t="0" r="r" b="b"/>
                        <a:pathLst>
                          <a:path w="908" h="15840">
                            <a:moveTo>
                              <a:pt x="907" y="0"/>
                            </a:moveTo>
                            <a:lnTo>
                              <a:pt x="680" y="0"/>
                            </a:lnTo>
                            <a:lnTo>
                              <a:pt x="0" y="15840"/>
                            </a:lnTo>
                            <a:lnTo>
                              <a:pt x="907" y="15840"/>
                            </a:lnTo>
                            <a:lnTo>
                              <a:pt x="907" y="0"/>
                            </a:lnTo>
                            <a:close/>
                          </a:path>
                        </a:pathLst>
                      </a:custGeom>
                      <a:solidFill>
                        <a:srgbClr val="25337A"/>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556D9" id="Freeform 1" o:spid="_x0000_s1026" style="position:absolute;margin-left:566.65pt;margin-top:0;width:45.35pt;height:1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" path="m907,l680,,,15840r907,l907,xe" fillcolor="#25337a" stroked="f">
              <v:path arrowok="t" o:connecttype="custom" o:connectlocs="575438,0;431420,0;0,10058400;575438,10058400;575438,0" o:connectangles="0,0,0,0,0"/>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221D5"/>
    <w:multiLevelType w:val="hybridMultilevel"/>
    <w:tmpl w:val="2BC22B58"/>
    <w:lvl w:ilvl="0" w:tplc="8550D684">
      <w:start w:val="1"/>
      <w:numFmt w:val="bullet"/>
      <w:lvlText w:val="·"/>
      <w:lvlJc w:val="left"/>
      <w:pPr>
        <w:ind w:left="36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F553B"/>
    <w:multiLevelType w:val="hybridMultilevel"/>
    <w:tmpl w:val="01FA3156"/>
    <w:lvl w:ilvl="0" w:tplc="1042386A">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13D64"/>
    <w:multiLevelType w:val="hybridMultilevel"/>
    <w:tmpl w:val="E79E4EB8"/>
    <w:lvl w:ilvl="0" w:tplc="EF9238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779552">
    <w:abstractNumId w:val="0"/>
  </w:num>
  <w:num w:numId="2" w16cid:durableId="778912807">
    <w:abstractNumId w:val="1"/>
  </w:num>
  <w:num w:numId="3" w16cid:durableId="1343357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15"/>
    <w:rsid w:val="00021B12"/>
    <w:rsid w:val="00037593"/>
    <w:rsid w:val="0004569B"/>
    <w:rsid w:val="0006074B"/>
    <w:rsid w:val="000A6C79"/>
    <w:rsid w:val="000B468A"/>
    <w:rsid w:val="000C6E5B"/>
    <w:rsid w:val="000D2E15"/>
    <w:rsid w:val="00155153"/>
    <w:rsid w:val="00184CC1"/>
    <w:rsid w:val="001B6E8B"/>
    <w:rsid w:val="00201F69"/>
    <w:rsid w:val="002138DD"/>
    <w:rsid w:val="00282685"/>
    <w:rsid w:val="00293939"/>
    <w:rsid w:val="002B40EF"/>
    <w:rsid w:val="002C7063"/>
    <w:rsid w:val="002D3EAA"/>
    <w:rsid w:val="002D6216"/>
    <w:rsid w:val="002D66AC"/>
    <w:rsid w:val="002F559F"/>
    <w:rsid w:val="00322474"/>
    <w:rsid w:val="00336143"/>
    <w:rsid w:val="003B0571"/>
    <w:rsid w:val="003B1BCE"/>
    <w:rsid w:val="003D1750"/>
    <w:rsid w:val="00404941"/>
    <w:rsid w:val="00421F98"/>
    <w:rsid w:val="00441AD0"/>
    <w:rsid w:val="00470D11"/>
    <w:rsid w:val="004A3E5C"/>
    <w:rsid w:val="004D7863"/>
    <w:rsid w:val="004E0AEA"/>
    <w:rsid w:val="004F3484"/>
    <w:rsid w:val="005139DF"/>
    <w:rsid w:val="00516870"/>
    <w:rsid w:val="0052181F"/>
    <w:rsid w:val="00536C01"/>
    <w:rsid w:val="00544A00"/>
    <w:rsid w:val="00546350"/>
    <w:rsid w:val="005604DE"/>
    <w:rsid w:val="00586B14"/>
    <w:rsid w:val="0059369B"/>
    <w:rsid w:val="00594731"/>
    <w:rsid w:val="005B0B9A"/>
    <w:rsid w:val="005C20A3"/>
    <w:rsid w:val="005D1A23"/>
    <w:rsid w:val="005D494F"/>
    <w:rsid w:val="005F6498"/>
    <w:rsid w:val="00603A18"/>
    <w:rsid w:val="00641D08"/>
    <w:rsid w:val="00652A61"/>
    <w:rsid w:val="00663151"/>
    <w:rsid w:val="006B322B"/>
    <w:rsid w:val="006C4472"/>
    <w:rsid w:val="006F3465"/>
    <w:rsid w:val="007328AD"/>
    <w:rsid w:val="007704C4"/>
    <w:rsid w:val="00790916"/>
    <w:rsid w:val="007E02EE"/>
    <w:rsid w:val="00817855"/>
    <w:rsid w:val="008431A4"/>
    <w:rsid w:val="00870237"/>
    <w:rsid w:val="008967AA"/>
    <w:rsid w:val="008C7B62"/>
    <w:rsid w:val="008D173E"/>
    <w:rsid w:val="008F3F25"/>
    <w:rsid w:val="00916C0F"/>
    <w:rsid w:val="00930925"/>
    <w:rsid w:val="00954FE4"/>
    <w:rsid w:val="0095767C"/>
    <w:rsid w:val="009601AE"/>
    <w:rsid w:val="00964748"/>
    <w:rsid w:val="00972A94"/>
    <w:rsid w:val="00975511"/>
    <w:rsid w:val="00997DD2"/>
    <w:rsid w:val="009C5F97"/>
    <w:rsid w:val="009D6F6F"/>
    <w:rsid w:val="00A02879"/>
    <w:rsid w:val="00A22441"/>
    <w:rsid w:val="00A54429"/>
    <w:rsid w:val="00A56BD7"/>
    <w:rsid w:val="00AC4B04"/>
    <w:rsid w:val="00AE2345"/>
    <w:rsid w:val="00B13274"/>
    <w:rsid w:val="00B66D58"/>
    <w:rsid w:val="00B7576B"/>
    <w:rsid w:val="00B75BBC"/>
    <w:rsid w:val="00B91C5B"/>
    <w:rsid w:val="00BE1834"/>
    <w:rsid w:val="00C212C9"/>
    <w:rsid w:val="00CA1577"/>
    <w:rsid w:val="00CB0C96"/>
    <w:rsid w:val="00CB23E5"/>
    <w:rsid w:val="00CC3C8B"/>
    <w:rsid w:val="00CC78FB"/>
    <w:rsid w:val="00CD0FC0"/>
    <w:rsid w:val="00CD2079"/>
    <w:rsid w:val="00CD2690"/>
    <w:rsid w:val="00D25A03"/>
    <w:rsid w:val="00D47273"/>
    <w:rsid w:val="00D7550C"/>
    <w:rsid w:val="00D77FD2"/>
    <w:rsid w:val="00D83E52"/>
    <w:rsid w:val="00D87326"/>
    <w:rsid w:val="00DD35B8"/>
    <w:rsid w:val="00E670D4"/>
    <w:rsid w:val="00E933E7"/>
    <w:rsid w:val="00EB6CEA"/>
    <w:rsid w:val="00EC0F66"/>
    <w:rsid w:val="00EC5B62"/>
    <w:rsid w:val="00F12870"/>
    <w:rsid w:val="00F14156"/>
    <w:rsid w:val="00F9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2261"/>
  <w15:chartTrackingRefBased/>
  <w15:docId w15:val="{E63E73BC-2C1F-4D91-97BA-5417A730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15"/>
    <w:pPr>
      <w:spacing w:after="200" w:line="276" w:lineRule="auto"/>
    </w:pPr>
  </w:style>
  <w:style w:type="paragraph" w:styleId="Heading1">
    <w:name w:val="heading 1"/>
    <w:basedOn w:val="Header"/>
    <w:next w:val="Normal"/>
    <w:link w:val="Heading1Char"/>
    <w:uiPriority w:val="9"/>
    <w:qFormat/>
    <w:rsid w:val="000D2E15"/>
    <w:pPr>
      <w:outlineLvl w:val="0"/>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E15"/>
    <w:rPr>
      <w:b/>
      <w:noProof/>
    </w:rPr>
  </w:style>
  <w:style w:type="paragraph" w:styleId="BodyText">
    <w:name w:val="Body Text"/>
    <w:basedOn w:val="Normal"/>
    <w:link w:val="BodyTextChar"/>
    <w:uiPriority w:val="1"/>
    <w:qFormat/>
    <w:rsid w:val="000D2E15"/>
    <w:rPr>
      <w:rFonts w:ascii="Palatino Linotype" w:hAnsi="Palatino Linotype"/>
    </w:rPr>
  </w:style>
  <w:style w:type="character" w:customStyle="1" w:styleId="BodyTextChar">
    <w:name w:val="Body Text Char"/>
    <w:basedOn w:val="DefaultParagraphFont"/>
    <w:link w:val="BodyText"/>
    <w:uiPriority w:val="1"/>
    <w:rsid w:val="000D2E15"/>
    <w:rPr>
      <w:rFonts w:ascii="Palatino Linotype" w:hAnsi="Palatino Linotype"/>
    </w:rPr>
  </w:style>
  <w:style w:type="paragraph" w:styleId="ListParagraph">
    <w:name w:val="List Paragraph"/>
    <w:basedOn w:val="Normal"/>
    <w:uiPriority w:val="34"/>
    <w:qFormat/>
    <w:rsid w:val="000D2E15"/>
  </w:style>
  <w:style w:type="paragraph" w:styleId="Header">
    <w:name w:val="header"/>
    <w:basedOn w:val="Normal"/>
    <w:link w:val="HeaderChar"/>
    <w:uiPriority w:val="99"/>
    <w:unhideWhenUsed/>
    <w:rsid w:val="000D2E15"/>
    <w:pPr>
      <w:tabs>
        <w:tab w:val="center" w:pos="4320"/>
        <w:tab w:val="right" w:pos="8640"/>
      </w:tabs>
    </w:pPr>
  </w:style>
  <w:style w:type="character" w:customStyle="1" w:styleId="HeaderChar">
    <w:name w:val="Header Char"/>
    <w:basedOn w:val="DefaultParagraphFont"/>
    <w:link w:val="Header"/>
    <w:uiPriority w:val="99"/>
    <w:rsid w:val="000D2E15"/>
  </w:style>
  <w:style w:type="paragraph" w:styleId="Footer">
    <w:name w:val="footer"/>
    <w:basedOn w:val="Normal"/>
    <w:link w:val="FooterChar"/>
    <w:uiPriority w:val="99"/>
    <w:unhideWhenUsed/>
    <w:rsid w:val="000D2E15"/>
    <w:pPr>
      <w:tabs>
        <w:tab w:val="center" w:pos="4320"/>
        <w:tab w:val="right" w:pos="8640"/>
      </w:tabs>
    </w:pPr>
  </w:style>
  <w:style w:type="character" w:customStyle="1" w:styleId="FooterChar">
    <w:name w:val="Footer Char"/>
    <w:basedOn w:val="DefaultParagraphFont"/>
    <w:link w:val="Footer"/>
    <w:uiPriority w:val="99"/>
    <w:rsid w:val="000D2E15"/>
  </w:style>
  <w:style w:type="paragraph" w:customStyle="1" w:styleId="paragraph">
    <w:name w:val="paragraph"/>
    <w:basedOn w:val="Normal"/>
    <w:rsid w:val="000D2E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D2E15"/>
  </w:style>
  <w:style w:type="character" w:customStyle="1" w:styleId="eop">
    <w:name w:val="eop"/>
    <w:basedOn w:val="DefaultParagraphFont"/>
    <w:rsid w:val="000D2E15"/>
  </w:style>
  <w:style w:type="character" w:styleId="Hyperlink">
    <w:name w:val="Hyperlink"/>
    <w:basedOn w:val="DefaultParagraphFont"/>
    <w:uiPriority w:val="99"/>
    <w:unhideWhenUsed/>
    <w:rsid w:val="000D2E15"/>
    <w:rPr>
      <w:color w:val="0563C1" w:themeColor="hyperlink"/>
      <w:u w:val="single"/>
    </w:rPr>
  </w:style>
  <w:style w:type="character" w:styleId="UnresolvedMention">
    <w:name w:val="Unresolved Mention"/>
    <w:basedOn w:val="DefaultParagraphFont"/>
    <w:uiPriority w:val="99"/>
    <w:semiHidden/>
    <w:unhideWhenUsed/>
    <w:rsid w:val="00D87326"/>
    <w:rPr>
      <w:color w:val="605E5C"/>
      <w:shd w:val="clear" w:color="auto" w:fill="E1DFDD"/>
    </w:rPr>
  </w:style>
  <w:style w:type="character" w:styleId="Strong">
    <w:name w:val="Strong"/>
    <w:basedOn w:val="DefaultParagraphFont"/>
    <w:uiPriority w:val="22"/>
    <w:qFormat/>
    <w:rsid w:val="00021B12"/>
    <w:rPr>
      <w:b/>
      <w:bCs/>
    </w:rPr>
  </w:style>
  <w:style w:type="paragraph" w:styleId="NormalWeb">
    <w:name w:val="Normal (Web)"/>
    <w:basedOn w:val="Normal"/>
    <w:uiPriority w:val="99"/>
    <w:unhideWhenUsed/>
    <w:rsid w:val="00021B1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93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70990244">
      <w:bodyDiv w:val="1"/>
      <w:marLeft w:val="0"/>
      <w:marRight w:val="0"/>
      <w:marTop w:val="0"/>
      <w:marBottom w:val="0"/>
      <w:divBdr>
        <w:top w:val="none" w:sz="0" w:space="0" w:color="auto"/>
        <w:left w:val="none" w:sz="0" w:space="0" w:color="auto"/>
        <w:bottom w:val="none" w:sz="0" w:space="0" w:color="auto"/>
        <w:right w:val="none" w:sz="0" w:space="0" w:color="auto"/>
      </w:divBdr>
    </w:div>
    <w:div w:id="1358654094">
      <w:bodyDiv w:val="1"/>
      <w:marLeft w:val="0"/>
      <w:marRight w:val="0"/>
      <w:marTop w:val="0"/>
      <w:marBottom w:val="0"/>
      <w:divBdr>
        <w:top w:val="none" w:sz="0" w:space="0" w:color="auto"/>
        <w:left w:val="none" w:sz="0" w:space="0" w:color="auto"/>
        <w:bottom w:val="none" w:sz="0" w:space="0" w:color="auto"/>
        <w:right w:val="none" w:sz="0" w:space="0" w:color="auto"/>
      </w:divBdr>
    </w:div>
    <w:div w:id="1451625951">
      <w:bodyDiv w:val="1"/>
      <w:marLeft w:val="0"/>
      <w:marRight w:val="0"/>
      <w:marTop w:val="0"/>
      <w:marBottom w:val="0"/>
      <w:divBdr>
        <w:top w:val="none" w:sz="0" w:space="0" w:color="auto"/>
        <w:left w:val="none" w:sz="0" w:space="0" w:color="auto"/>
        <w:bottom w:val="none" w:sz="0" w:space="0" w:color="auto"/>
        <w:right w:val="none" w:sz="0" w:space="0" w:color="auto"/>
      </w:divBdr>
    </w:div>
    <w:div w:id="16458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premecourt.gov/DocketPDF/21/21-376/233384/20220812233254031_21-376tsUnitedStates.pdf" TargetMode="External"/><Relationship Id="rId18" Type="http://schemas.openxmlformats.org/officeDocument/2006/relationships/hyperlink" Target="https://www.supremecourt.gov/DocketPDF/21/21-1086/230274/20220718154619216_Milligan%20CLC%20Amicus%20Brief.pdf" TargetMode="External"/><Relationship Id="rId26" Type="http://schemas.openxmlformats.org/officeDocument/2006/relationships/hyperlink" Target="https://www.supremecourt.gov/DocketPDF/20/20-1199/222325/20220502145522418_20-1199%2021-707%20SFFA%20Brief%20to%20file%20final.pdf" TargetMode="External"/><Relationship Id="rId39" Type="http://schemas.openxmlformats.org/officeDocument/2006/relationships/fontTable" Target="fontTable.xml"/><Relationship Id="rId21" Type="http://schemas.openxmlformats.org/officeDocument/2006/relationships/hyperlink" Target="https://www.supremecourt.gov/DocketPDF/21/21-1271/225909/20220520133247549_21-1271%20BIO%20NCLCV.pdf" TargetMode="External"/><Relationship Id="rId34" Type="http://schemas.openxmlformats.org/officeDocument/2006/relationships/hyperlink" Target="https://news.bloomberglaw.com/us-law-week/race-conscious-admissions-policies-are-crucial-to-an-equitable-society" TargetMode="External"/><Relationship Id="rId7" Type="http://schemas.openxmlformats.org/officeDocument/2006/relationships/webSettings" Target="webSettings.xml"/><Relationship Id="rId12" Type="http://schemas.openxmlformats.org/officeDocument/2006/relationships/hyperlink" Target="https://www.supremecourt.gov/DocketPDF/21/21-376/233334/20220812114842678_21-376%20bs%20Brief%20For%20Tribal%20Defendants.pdf" TargetMode="External"/><Relationship Id="rId17" Type="http://schemas.openxmlformats.org/officeDocument/2006/relationships/hyperlink" Target="https://www.supremecourt.gov/DocketPDF/21/21-1086/229773/20220711132550198_2022.07.11%20Milligan%20Br.%20for%20Appellees_A.pdf" TargetMode="External"/><Relationship Id="rId25" Type="http://schemas.openxmlformats.org/officeDocument/2006/relationships/hyperlink" Target="https://www.supremecourt.gov/DocketPDF/21/21-1271/237155/20220906161712850_Moore%20v%20Harper%20Amicus%20Sept%206_FINAL_Filed.pdf" TargetMode="External"/><Relationship Id="rId33" Type="http://schemas.openxmlformats.org/officeDocument/2006/relationships/hyperlink" Target="https://www.scotusblog.com/2022/07/divided-court-declines-to-reinstate-bidens-immigration-guidelines-sets-case-for-argument-this-fall/"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upremecourt.gov/DocketPDF/21/21-1086/229762/20220711135711406_2022-07-11%20Caster%20Merits%20Brief%20Final.pdf" TargetMode="External"/><Relationship Id="rId20" Type="http://schemas.openxmlformats.org/officeDocument/2006/relationships/hyperlink" Target="https://www.supremecourt.gov/DocketPDF/21/21-1271/236562/20220829124545799_21-1271%20Brief%20for%20Petitioners.pdf" TargetMode="External"/><Relationship Id="rId29" Type="http://schemas.openxmlformats.org/officeDocument/2006/relationships/hyperlink" Target="https://www.supremecourt.gov/DocketPDF/21/21-707/230788/20220725145945750_Respondent%20Students%20Merits%20Brief.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premecourt.gov/DocketPDF/21/21-376/226399/20220526164234609_Haaland%20v.%20Brackeen%20--%20Opening%20Brief.pdf" TargetMode="External"/><Relationship Id="rId24" Type="http://schemas.openxmlformats.org/officeDocument/2006/relationships/hyperlink" Target="https://www.supremecourt.gov/DocketPDF/21/21-1271/225945/20220520153235740_21-1271%20Brief%20for%20Harper%20Respondents%20in%20Opposition.pdf" TargetMode="External"/><Relationship Id="rId32" Type="http://schemas.openxmlformats.org/officeDocument/2006/relationships/hyperlink" Target="https://www.supremecourt.gov/DocketPDF/21/21-476/226875/20220602101839029_303%20Creative%20Amicus%20Brief.pdf"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upremecourt.gov/DocketPDF/21/21-1086/221827/20220425152045101_Milligan%20-%20Merits%20Br%20FINAL%204-25.pdf" TargetMode="External"/><Relationship Id="rId23" Type="http://schemas.openxmlformats.org/officeDocument/2006/relationships/hyperlink" Target="https://www.supremecourt.gov/DocketPDF/21/21-1271/225937/20220520150719842_2022.05.20%20Common%20Cause%20BIO.pdf" TargetMode="External"/><Relationship Id="rId28" Type="http://schemas.openxmlformats.org/officeDocument/2006/relationships/hyperlink" Target="https://www.supremecourt.gov/DocketPDF/21/21-707/230779/20220725144111091_21-707_Response%20brief.pdf" TargetMode="External"/><Relationship Id="rId36" Type="http://schemas.openxmlformats.org/officeDocument/2006/relationships/footer" Target="footer1.xml"/><Relationship Id="rId10" Type="http://schemas.openxmlformats.org/officeDocument/2006/relationships/hyperlink" Target="https://www.supremecourt.gov/DocketPDF/21/21-376/226353/20220526144044056_Haaland%20v.%20Brackeen%20-%20Opening%20Br.%20for%20Texas.pdf" TargetMode="External"/><Relationship Id="rId19" Type="http://schemas.openxmlformats.org/officeDocument/2006/relationships/hyperlink" Target="https://www.supremecourt.gov/DocketPDF/21/21-1271/218823/20220317132356259_2022-03-17%20Moore%20Cert.%20Petition.pdf" TargetMode="External"/><Relationship Id="rId31" Type="http://schemas.openxmlformats.org/officeDocument/2006/relationships/hyperlink" Target="https://www.supremecourt.gov/DocketPDF/21/21-476/233350/20220812133015020_21-476%20Brief%20for%20Respondents%20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premecourt.gov/DocketPDF/21/21-376/234027/20220819131353569_21-376%2021-377%2021-378%20%2021-380%20-%20Brackeen%20-%20Indian%20Law%20Scholars%20Amicus%20Brief.pdf" TargetMode="External"/><Relationship Id="rId22" Type="http://schemas.openxmlformats.org/officeDocument/2006/relationships/hyperlink" Target="https://www.supremecourt.gov/DocketPDF/21/21-1271/225939/20220520151805063_21-1271_BIO_05.20.22.pdf" TargetMode="External"/><Relationship Id="rId27" Type="http://schemas.openxmlformats.org/officeDocument/2006/relationships/hyperlink" Target="https://www.supremecourt.gov/DocketPDF/20/20-1199/230739/20220725122633156_20-1199%20bs.pdf" TargetMode="External"/><Relationship Id="rId30" Type="http://schemas.openxmlformats.org/officeDocument/2006/relationships/hyperlink" Target="https://www.supremecourt.gov/DocketPDF/21/21-476/226347/20220526141015058_21-476%20Brief%20for%20Petitioner.pdf"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mailto:info@acslaw.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TaxCatchAll xmlns="dc6b7c76-a4fe-4a57-9dfc-9f650e00df1a" xsi:nil="true"/>
    <lcf76f155ced4ddcb4097134ff3c332f xmlns="5470fa08-0da5-491f-bb59-ad50bd580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7" ma:contentTypeDescription="Create a new document." ma:contentTypeScope="" ma:versionID="2c8a6873930502b96584db16f4070efe">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c93f34767835d9cd19d0502aef738f93"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ac58c4-56e1-4c9a-84cd-a50909becb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6016b8-d718-4bbd-8564-dd25109e6ba1}" ma:internalName="TaxCatchAll" ma:showField="CatchAllData" ma:web="dc6b7c76-a4fe-4a57-9dfc-9f650e00d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55452-64AA-4525-AF1C-16FA5038EEDA}">
  <ds:schemaRefs>
    <ds:schemaRef ds:uri="http://schemas.microsoft.com/sharepoint/v3/contenttype/forms"/>
  </ds:schemaRefs>
</ds:datastoreItem>
</file>

<file path=customXml/itemProps2.xml><?xml version="1.0" encoding="utf-8"?>
<ds:datastoreItem xmlns:ds="http://schemas.openxmlformats.org/officeDocument/2006/customXml" ds:itemID="{36A2EAD5-3778-48F7-AA66-B547A8932BCD}">
  <ds:schemaRefs>
    <ds:schemaRef ds:uri="http://schemas.microsoft.com/office/2006/metadata/properties"/>
    <ds:schemaRef ds:uri="http://schemas.microsoft.com/office/infopath/2007/PartnerControls"/>
    <ds:schemaRef ds:uri="5470fa08-0da5-491f-bb59-ad50bd5802bb"/>
    <ds:schemaRef ds:uri="dc6b7c76-a4fe-4a57-9dfc-9f650e00df1a"/>
  </ds:schemaRefs>
</ds:datastoreItem>
</file>

<file path=customXml/itemProps3.xml><?xml version="1.0" encoding="utf-8"?>
<ds:datastoreItem xmlns:ds="http://schemas.openxmlformats.org/officeDocument/2006/customXml" ds:itemID="{9B1D5825-A567-47FE-8528-27C221A5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Monod</dc:creator>
  <cp:keywords/>
  <dc:description/>
  <cp:lastModifiedBy>Michelle Juma</cp:lastModifiedBy>
  <cp:revision>5</cp:revision>
  <dcterms:created xsi:type="dcterms:W3CDTF">2022-09-14T14:37:00Z</dcterms:created>
  <dcterms:modified xsi:type="dcterms:W3CDTF">2022-09-14T15:00:00Z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y fmtid="{D5CDD505-2E9C-101B-9397-08002B2CF9AE}" pid="3" name="MediaServiceImageTags">
    <vt:lpwstr/>
  </property>
</Properties>
</file>